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9AA7DFD" w14:textId="77777777" w:rsidR="00B84928" w:rsidRDefault="00E7490B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2FE09A0" wp14:editId="26C42328">
                <wp:simplePos x="0" y="0"/>
                <wp:positionH relativeFrom="page">
                  <wp:posOffset>3492</wp:posOffset>
                </wp:positionH>
                <wp:positionV relativeFrom="paragraph">
                  <wp:posOffset>-873137</wp:posOffset>
                </wp:positionV>
                <wp:extent cx="7553325" cy="10694186"/>
                <wp:effectExtent l="0" t="0" r="0" b="0"/>
                <wp:wrapNone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3083558" name="Рисунок 913083558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7553325" cy="106941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60288;o:allowoverlap:true;o:allowincell:true;mso-position-horizontal-relative:page;margin-left:0.27pt;mso-position-horizontal:absolute;mso-position-vertical-relative:text;margin-top:-68.75pt;mso-position-vertical:absolute;width:594.75pt;height:842.06pt;mso-wrap-distance-left:9.00pt;mso-wrap-distance-top:0.00pt;mso-wrap-distance-right:9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</w:p>
    <w:p w14:paraId="1CB04447" w14:textId="77777777" w:rsidR="00B84928" w:rsidRDefault="00B84928"/>
    <w:p w14:paraId="31382AE4" w14:textId="77777777" w:rsidR="00B84928" w:rsidRDefault="00B84928"/>
    <w:p w14:paraId="52D23129" w14:textId="77777777" w:rsidR="00B84928" w:rsidRDefault="00B84928"/>
    <w:p w14:paraId="64B4E4E8" w14:textId="77777777" w:rsidR="00B84928" w:rsidRDefault="00B84928"/>
    <w:p w14:paraId="0ABE9185" w14:textId="77777777" w:rsidR="00B84928" w:rsidRDefault="00B84928"/>
    <w:p w14:paraId="4BE14ABF" w14:textId="77777777" w:rsidR="00B84928" w:rsidRDefault="00B84928"/>
    <w:p w14:paraId="1CFD5A67" w14:textId="77777777" w:rsidR="00B84928" w:rsidRDefault="00B84928">
      <w:pPr>
        <w:spacing w:after="0" w:line="240" w:lineRule="auto"/>
        <w:ind w:left="-567"/>
        <w:rPr>
          <w:rFonts w:ascii="Arial Black" w:hAnsi="Arial Black"/>
          <w:b/>
          <w:bCs/>
          <w:sz w:val="56"/>
          <w:szCs w:val="56"/>
        </w:rPr>
      </w:pPr>
    </w:p>
    <w:p w14:paraId="3E81F32A" w14:textId="77777777" w:rsidR="00B84928" w:rsidRDefault="00B84928">
      <w:pPr>
        <w:spacing w:after="0" w:line="240" w:lineRule="auto"/>
        <w:ind w:left="-567"/>
        <w:rPr>
          <w:rFonts w:ascii="Arial Black" w:hAnsi="Arial Black"/>
          <w:b/>
          <w:bCs/>
          <w:sz w:val="56"/>
          <w:szCs w:val="56"/>
        </w:rPr>
      </w:pPr>
    </w:p>
    <w:p w14:paraId="1A5A729E" w14:textId="77777777" w:rsidR="00B84928" w:rsidRDefault="00B84928">
      <w:pPr>
        <w:spacing w:after="0" w:line="240" w:lineRule="auto"/>
        <w:ind w:left="-567"/>
        <w:rPr>
          <w:rFonts w:ascii="Arial Black" w:hAnsi="Arial Black"/>
          <w:b/>
          <w:bCs/>
          <w:sz w:val="56"/>
          <w:szCs w:val="56"/>
        </w:rPr>
      </w:pPr>
    </w:p>
    <w:p w14:paraId="0ABE62E2" w14:textId="77777777" w:rsidR="00562384" w:rsidRDefault="00E7490B" w:rsidP="00562384">
      <w:pPr>
        <w:spacing w:after="0" w:line="240" w:lineRule="auto"/>
        <w:ind w:left="-567"/>
        <w:rPr>
          <w:rFonts w:ascii="Arial Black" w:hAnsi="Arial Black"/>
          <w:b/>
          <w:bCs/>
          <w:sz w:val="60"/>
          <w:szCs w:val="60"/>
        </w:rPr>
      </w:pPr>
      <w:r>
        <w:rPr>
          <w:rFonts w:ascii="Arial Black" w:hAnsi="Arial Black"/>
          <w:b/>
          <w:bCs/>
          <w:sz w:val="60"/>
          <w:szCs w:val="60"/>
        </w:rPr>
        <w:t>РЕШЕНИЕ О ВЫПУСКЕ ЦИФРОВЫХ ФИНАНСОВЫХ АКТИВОВ</w:t>
      </w:r>
    </w:p>
    <w:p w14:paraId="7ECAB10F" w14:textId="77777777" w:rsidR="00562384" w:rsidRDefault="00562384" w:rsidP="00562384">
      <w:pPr>
        <w:spacing w:after="0" w:line="240" w:lineRule="auto"/>
        <w:ind w:left="-567"/>
        <w:rPr>
          <w:rFonts w:ascii="Arial Black" w:hAnsi="Arial Black"/>
          <w:b/>
          <w:bCs/>
          <w:sz w:val="60"/>
          <w:szCs w:val="60"/>
        </w:rPr>
      </w:pPr>
    </w:p>
    <w:p w14:paraId="70BC985D" w14:textId="77777777" w:rsidR="00562384" w:rsidRDefault="00562384" w:rsidP="00562384">
      <w:pPr>
        <w:spacing w:after="0" w:line="240" w:lineRule="auto"/>
        <w:ind w:left="-567"/>
        <w:rPr>
          <w:rFonts w:ascii="Arial Black" w:hAnsi="Arial Black"/>
          <w:b/>
          <w:bCs/>
          <w:sz w:val="60"/>
          <w:szCs w:val="60"/>
        </w:rPr>
      </w:pPr>
    </w:p>
    <w:p w14:paraId="5C4376C4" w14:textId="178C7C2E" w:rsidR="00562384" w:rsidRPr="00562384" w:rsidRDefault="009B0193" w:rsidP="00562384">
      <w:pPr>
        <w:spacing w:after="0" w:line="240" w:lineRule="auto"/>
        <w:ind w:left="-567"/>
        <w:rPr>
          <w:rFonts w:ascii="Arial Black" w:hAnsi="Arial Black"/>
          <w:b/>
          <w:bCs/>
          <w:sz w:val="60"/>
          <w:szCs w:val="60"/>
        </w:rPr>
      </w:pPr>
      <w:r>
        <w:rPr>
          <w:rFonts w:ascii="Arial" w:eastAsia="Arial" w:hAnsi="Arial" w:cs="Arial"/>
          <w:b/>
          <w:sz w:val="40"/>
        </w:rPr>
        <w:t xml:space="preserve">ТКБ: </w:t>
      </w:r>
      <w:r w:rsidR="001B0435">
        <w:rPr>
          <w:rFonts w:ascii="Arial" w:eastAsia="Arial" w:hAnsi="Arial" w:cs="Arial"/>
          <w:b/>
          <w:sz w:val="40"/>
        </w:rPr>
        <w:t>Плавающая ставка</w:t>
      </w:r>
      <w:r>
        <w:rPr>
          <w:rFonts w:ascii="Arial" w:eastAsia="Arial" w:hAnsi="Arial" w:cs="Arial"/>
          <w:b/>
          <w:sz w:val="40"/>
        </w:rPr>
        <w:t>-</w:t>
      </w:r>
      <w:r w:rsidR="001B0435">
        <w:rPr>
          <w:rFonts w:ascii="Arial" w:eastAsia="Arial" w:hAnsi="Arial" w:cs="Arial"/>
          <w:b/>
          <w:sz w:val="40"/>
        </w:rPr>
        <w:t>4</w:t>
      </w:r>
    </w:p>
    <w:p w14:paraId="17332103" w14:textId="77777777" w:rsidR="00B84928" w:rsidRDefault="00B84928">
      <w:pPr>
        <w:ind w:left="-567"/>
        <w:rPr>
          <w:rFonts w:ascii="Arial" w:hAnsi="Arial" w:cs="Arial"/>
          <w:b/>
          <w:bCs/>
          <w:sz w:val="40"/>
          <w:szCs w:val="40"/>
        </w:rPr>
      </w:pPr>
    </w:p>
    <w:p w14:paraId="1F863421" w14:textId="632179AD" w:rsidR="00B84928" w:rsidRDefault="00E7490B">
      <w:pPr>
        <w:ind w:left="-567"/>
        <w:rPr>
          <w:rFonts w:ascii="Arial" w:hAnsi="Arial" w:cs="Arial"/>
          <w:b/>
          <w:bCs/>
          <w:sz w:val="24"/>
          <w:szCs w:val="24"/>
        </w:rPr>
      </w:pPr>
      <w:r w:rsidRPr="001B0435">
        <w:rPr>
          <w:rFonts w:ascii="Arial" w:hAnsi="Arial" w:cs="Arial"/>
          <w:b/>
          <w:color w:val="0070C0"/>
          <w:sz w:val="24"/>
          <w:szCs w:val="24"/>
        </w:rPr>
        <w:t>Москва, «</w:t>
      </w:r>
      <w:r w:rsidR="001B0435" w:rsidRPr="001B0435">
        <w:rPr>
          <w:rFonts w:ascii="Arial" w:eastAsia="Arial" w:hAnsi="Arial" w:cs="Arial"/>
          <w:b/>
          <w:color w:val="0070C0"/>
          <w:sz w:val="24"/>
        </w:rPr>
        <w:t>1</w:t>
      </w:r>
      <w:r w:rsidR="007756CD" w:rsidRPr="00471361">
        <w:rPr>
          <w:rFonts w:ascii="Arial" w:eastAsia="Arial" w:hAnsi="Arial" w:cs="Arial"/>
          <w:b/>
          <w:color w:val="0070C0"/>
          <w:sz w:val="24"/>
        </w:rPr>
        <w:t>8</w:t>
      </w:r>
      <w:r w:rsidRPr="001B0435">
        <w:rPr>
          <w:rFonts w:ascii="Arial" w:hAnsi="Arial" w:cs="Arial"/>
          <w:b/>
          <w:color w:val="0070C0"/>
          <w:sz w:val="24"/>
          <w:szCs w:val="24"/>
        </w:rPr>
        <w:t xml:space="preserve">» </w:t>
      </w:r>
      <w:r w:rsidR="001B0435" w:rsidRPr="001B0435">
        <w:rPr>
          <w:rFonts w:ascii="Arial" w:eastAsia="Arial" w:hAnsi="Arial" w:cs="Arial"/>
          <w:b/>
          <w:color w:val="0070C0"/>
          <w:sz w:val="24"/>
        </w:rPr>
        <w:t>ноября</w:t>
      </w:r>
      <w:r w:rsidRPr="001B0435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Pr="001B0435">
        <w:rPr>
          <w:rFonts w:ascii="Arial" w:eastAsia="Arial" w:hAnsi="Arial" w:cs="Arial"/>
          <w:b/>
          <w:color w:val="0070C0"/>
          <w:sz w:val="24"/>
        </w:rPr>
        <w:t>2024</w:t>
      </w:r>
    </w:p>
    <w:p w14:paraId="7A8A86C3" w14:textId="77777777" w:rsidR="00B84928" w:rsidRDefault="00B84928">
      <w:pPr>
        <w:rPr>
          <w:rFonts w:ascii="Arial Black" w:hAnsi="Arial Black"/>
          <w:b/>
          <w:bCs/>
          <w:sz w:val="32"/>
          <w:szCs w:val="32"/>
        </w:rPr>
      </w:pPr>
    </w:p>
    <w:p w14:paraId="2F60F08F" w14:textId="77777777" w:rsidR="00B84928" w:rsidRDefault="00B84928">
      <w:pPr>
        <w:rPr>
          <w:rFonts w:ascii="Arial Black" w:hAnsi="Arial Black"/>
          <w:b/>
          <w:bCs/>
          <w:sz w:val="32"/>
          <w:szCs w:val="32"/>
        </w:rPr>
      </w:pPr>
    </w:p>
    <w:p w14:paraId="34F97265" w14:textId="77777777" w:rsidR="00B84928" w:rsidRDefault="00B84928">
      <w:pPr>
        <w:rPr>
          <w:rFonts w:ascii="Arial Black" w:hAnsi="Arial Black"/>
          <w:b/>
          <w:bCs/>
          <w:sz w:val="32"/>
          <w:szCs w:val="32"/>
        </w:rPr>
      </w:pPr>
    </w:p>
    <w:p w14:paraId="60A65B5D" w14:textId="77777777" w:rsidR="00B84928" w:rsidRDefault="00E7490B">
      <w:pPr>
        <w:rPr>
          <w:rFonts w:ascii="Arial Black" w:hAnsi="Arial Black"/>
          <w:b/>
          <w:bCs/>
          <w:sz w:val="32"/>
          <w:szCs w:val="32"/>
        </w:rPr>
      </w:pPr>
      <w:r>
        <w:rPr>
          <w:rFonts w:ascii="Arial Black" w:hAnsi="Arial Black"/>
          <w:b/>
          <w:bCs/>
          <w:sz w:val="32"/>
          <w:szCs w:val="32"/>
        </w:rPr>
        <w:br w:type="page" w:clear="all"/>
      </w:r>
    </w:p>
    <w:tbl>
      <w:tblPr>
        <w:tblStyle w:val="25"/>
        <w:tblW w:w="0" w:type="auto"/>
        <w:tblInd w:w="-5" w:type="dxa"/>
        <w:tblLook w:val="04A0" w:firstRow="1" w:lastRow="0" w:firstColumn="1" w:lastColumn="0" w:noHBand="0" w:noVBand="1"/>
      </w:tblPr>
      <w:tblGrid>
        <w:gridCol w:w="714"/>
        <w:gridCol w:w="2268"/>
        <w:gridCol w:w="1837"/>
        <w:gridCol w:w="4400"/>
      </w:tblGrid>
      <w:tr w:rsidR="00562384" w:rsidRPr="00562384" w14:paraId="08EAAD5B" w14:textId="77777777" w:rsidTr="00562384">
        <w:tc>
          <w:tcPr>
            <w:tcW w:w="714" w:type="dxa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14:paraId="618FCD2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lastRenderedPageBreak/>
              <w:t>1.</w:t>
            </w:r>
          </w:p>
        </w:tc>
        <w:tc>
          <w:tcPr>
            <w:tcW w:w="8505" w:type="dxa"/>
            <w:gridSpan w:val="3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14:paraId="64BEDB2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</w:pPr>
            <w:bookmarkStart w:id="1" w:name="_Hlk156491953"/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Сведения об Эмитенте</w:t>
            </w:r>
          </w:p>
        </w:tc>
      </w:tr>
      <w:tr w:rsidR="00562384" w:rsidRPr="00562384" w14:paraId="697BAEE5" w14:textId="77777777" w:rsidTr="00562384">
        <w:tc>
          <w:tcPr>
            <w:tcW w:w="71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E09406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3F82F58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Полное наименование</w:t>
            </w:r>
          </w:p>
        </w:tc>
        <w:tc>
          <w:tcPr>
            <w:tcW w:w="623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33D15D7" w14:textId="77777777" w:rsidR="00562384" w:rsidRPr="00562384" w:rsidRDefault="00562384" w:rsidP="00562384">
            <w:pPr>
              <w:spacing w:before="60" w:after="60"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Публичное акционерное общество «ТРАНСКАПИТАЛБАНК»</w:t>
            </w:r>
          </w:p>
        </w:tc>
      </w:tr>
      <w:tr w:rsidR="00562384" w:rsidRPr="00562384" w14:paraId="24A3567F" w14:textId="77777777" w:rsidTr="00562384">
        <w:tc>
          <w:tcPr>
            <w:tcW w:w="71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8F1869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4C460C8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Сокращенное наименование</w:t>
            </w:r>
          </w:p>
        </w:tc>
        <w:tc>
          <w:tcPr>
            <w:tcW w:w="623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CC1DF61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ТКБ БАНК ПАО</w:t>
            </w:r>
          </w:p>
        </w:tc>
      </w:tr>
      <w:tr w:rsidR="00562384" w:rsidRPr="00562384" w14:paraId="119DB447" w14:textId="77777777" w:rsidTr="00562384">
        <w:tc>
          <w:tcPr>
            <w:tcW w:w="71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939F9D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0326D52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Адрес</w:t>
            </w:r>
          </w:p>
        </w:tc>
        <w:tc>
          <w:tcPr>
            <w:tcW w:w="623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998AFD1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109147, город Москва, ул. 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Воронцовская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, д. 27/35</w:t>
            </w:r>
          </w:p>
        </w:tc>
      </w:tr>
      <w:tr w:rsidR="00562384" w:rsidRPr="00562384" w14:paraId="59C8E98E" w14:textId="77777777" w:rsidTr="00562384">
        <w:trPr>
          <w:trHeight w:val="405"/>
        </w:trPr>
        <w:tc>
          <w:tcPr>
            <w:tcW w:w="714" w:type="dxa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14:paraId="6A19C8F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14:paraId="7A402012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Сведения о государственной регистрации</w:t>
            </w:r>
          </w:p>
        </w:tc>
        <w:tc>
          <w:tcPr>
            <w:tcW w:w="1837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91B390B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  <w:b/>
                <w:bCs/>
                <w:color w:val="808080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</w:rPr>
              <w:t>Дата регистрации</w:t>
            </w:r>
          </w:p>
        </w:tc>
        <w:tc>
          <w:tcPr>
            <w:tcW w:w="4400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468210D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  <w:b/>
                <w:bCs/>
                <w:color w:val="808080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</w:rPr>
              <w:t>ОГРН</w:t>
            </w:r>
          </w:p>
        </w:tc>
      </w:tr>
      <w:tr w:rsidR="00562384" w:rsidRPr="00562384" w14:paraId="4FF7971B" w14:textId="77777777" w:rsidTr="00562384">
        <w:trPr>
          <w:trHeight w:val="405"/>
        </w:trPr>
        <w:tc>
          <w:tcPr>
            <w:tcW w:w="714" w:type="dxa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14:paraId="0BB4D3E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BFBFBF"/>
              <w:right w:val="nil"/>
            </w:tcBorders>
          </w:tcPr>
          <w:p w14:paraId="33327DFE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837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31845C7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24.12.1992</w:t>
            </w:r>
          </w:p>
        </w:tc>
        <w:tc>
          <w:tcPr>
            <w:tcW w:w="4400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539A83A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1027739186970</w:t>
            </w:r>
          </w:p>
        </w:tc>
      </w:tr>
      <w:tr w:rsidR="00562384" w:rsidRPr="00562384" w14:paraId="3B0605A3" w14:textId="77777777" w:rsidTr="00562384">
        <w:tc>
          <w:tcPr>
            <w:tcW w:w="71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F2EB57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DF4B9A7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Сайт Эмитента</w:t>
            </w:r>
          </w:p>
        </w:tc>
        <w:tc>
          <w:tcPr>
            <w:tcW w:w="623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082F538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  <w:lang w:val="en-US"/>
              </w:rPr>
            </w:pPr>
            <w:r w:rsidRPr="00562384">
              <w:rPr>
                <w:rFonts w:ascii="Arial Narrow" w:eastAsia="Calibri" w:hAnsi="Arial Narrow" w:cs="Times New Roman"/>
                <w:lang w:val="en-US"/>
              </w:rPr>
              <w:t>https://tkbbank.ru</w:t>
            </w:r>
          </w:p>
        </w:tc>
      </w:tr>
      <w:tr w:rsidR="00562384" w:rsidRPr="00562384" w14:paraId="042121B3" w14:textId="77777777" w:rsidTr="00562384">
        <w:tc>
          <w:tcPr>
            <w:tcW w:w="71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113231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6353B37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Описание деятельности эмитента</w:t>
            </w:r>
          </w:p>
        </w:tc>
        <w:tc>
          <w:tcPr>
            <w:tcW w:w="623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32D6028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ТКБ БАНК ПАО входит в банковскую группу ТКБ – универсальный банк, представлен в ключевых регионах Российской Федерации, по размеру активов стабильно входит в 30 крупнейших российских банков.</w:t>
            </w:r>
          </w:p>
          <w:p w14:paraId="3ECEBAB2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</w:p>
          <w:p w14:paraId="1BDD022D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Осуществляет деятельность с 1992 года. Входит в топ-10 частных банков по размеру активов (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Банки.ру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, 11.2022), топ-5 лучших розничных продуктов (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Сравни.ру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 xml:space="preserve">, 11.2022), топ-20 самых рентабельных банков (Коммерсант, 09.2022), топ-40 по </w:t>
            </w:r>
            <w:proofErr w:type="gramStart"/>
            <w:r w:rsidRPr="00562384">
              <w:rPr>
                <w:rFonts w:ascii="Arial Narrow" w:eastAsia="Calibri" w:hAnsi="Arial Narrow" w:cs="Times New Roman"/>
              </w:rPr>
              <w:t>размеру  капитала</w:t>
            </w:r>
            <w:proofErr w:type="gramEnd"/>
            <w:r w:rsidRPr="00562384">
              <w:rPr>
                <w:rFonts w:ascii="Arial Narrow" w:eastAsia="Calibri" w:hAnsi="Arial Narrow" w:cs="Times New Roman"/>
              </w:rPr>
              <w:t xml:space="preserve"> (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Банки.ру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, 02.2022), топ-30 чистые активы и розничные кредиты (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Банки.ру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, 02.2022), топ-1 работодатель финансовой и страховой отрасли (РБК, 11.2022), топ-25 работодателей России среди банков (</w:t>
            </w:r>
            <w:proofErr w:type="spellStart"/>
            <w:r w:rsidRPr="00562384">
              <w:rPr>
                <w:rFonts w:ascii="Arial Narrow" w:eastAsia="Calibri" w:hAnsi="Arial Narrow" w:cs="Times New Roman"/>
                <w:lang w:val="en-US"/>
              </w:rPr>
              <w:t>hh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.</w:t>
            </w:r>
            <w:proofErr w:type="spellStart"/>
            <w:r w:rsidRPr="00562384">
              <w:rPr>
                <w:rFonts w:ascii="Arial Narrow" w:eastAsia="Calibri" w:hAnsi="Arial Narrow" w:cs="Times New Roman"/>
                <w:lang w:val="en-US"/>
              </w:rPr>
              <w:t>ru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, 02.2023).</w:t>
            </w:r>
          </w:p>
          <w:p w14:paraId="08A94514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</w:p>
          <w:p w14:paraId="60CBC3BD" w14:textId="77777777" w:rsidR="00562384" w:rsidRPr="00562384" w:rsidRDefault="00562384" w:rsidP="00562384">
            <w:pPr>
              <w:spacing w:line="276" w:lineRule="auto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Ключевыми фактами и показателями деятельности ТКБ БАНК ПАО являются: 70 отделений по всей России, 28 регионов присутствия, 1890 платежных терминалов, 2008 точек торгового 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эквайринга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, более 875 000 клиентов физических и юридических лиц.</w:t>
            </w:r>
          </w:p>
        </w:tc>
      </w:tr>
      <w:bookmarkEnd w:id="1"/>
    </w:tbl>
    <w:p w14:paraId="0616830F" w14:textId="77777777" w:rsidR="00562384" w:rsidRP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</w:rPr>
      </w:pPr>
    </w:p>
    <w:tbl>
      <w:tblPr>
        <w:tblStyle w:val="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"/>
        <w:gridCol w:w="2950"/>
        <w:gridCol w:w="5916"/>
      </w:tblGrid>
      <w:tr w:rsidR="00562384" w:rsidRPr="00562384" w14:paraId="66E3B3E7" w14:textId="77777777" w:rsidTr="00562384">
        <w:tc>
          <w:tcPr>
            <w:tcW w:w="709" w:type="dxa"/>
            <w:tcBorders>
              <w:bottom w:val="single" w:sz="4" w:space="0" w:color="BFBFBF"/>
            </w:tcBorders>
          </w:tcPr>
          <w:p w14:paraId="28AE7E5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2.</w:t>
            </w:r>
          </w:p>
        </w:tc>
        <w:tc>
          <w:tcPr>
            <w:tcW w:w="8645" w:type="dxa"/>
            <w:gridSpan w:val="2"/>
            <w:tcBorders>
              <w:bottom w:val="single" w:sz="4" w:space="0" w:color="BFBFBF"/>
            </w:tcBorders>
          </w:tcPr>
          <w:p w14:paraId="49308ED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Параметры ЦФА</w:t>
            </w:r>
          </w:p>
        </w:tc>
      </w:tr>
      <w:tr w:rsidR="00562384" w:rsidRPr="00562384" w14:paraId="737FB885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487985C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790EDDF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Целевое назначение</w:t>
            </w:r>
          </w:p>
        </w:tc>
        <w:tc>
          <w:tcPr>
            <w:tcW w:w="6377" w:type="dxa"/>
            <w:tcBorders>
              <w:top w:val="single" w:sz="4" w:space="0" w:color="BFBFBF"/>
              <w:bottom w:val="single" w:sz="4" w:space="0" w:color="BFBFBF"/>
            </w:tcBorders>
          </w:tcPr>
          <w:p w14:paraId="4A672EEB" w14:textId="1E9FEDC3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  <w:color w:val="808080" w:themeColor="background1" w:themeShade="80"/>
              </w:rPr>
              <w:t xml:space="preserve">Не предусмотрено </w:t>
            </w:r>
          </w:p>
        </w:tc>
      </w:tr>
      <w:tr w:rsidR="00562384" w:rsidRPr="00562384" w14:paraId="1E68A7A8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05D6CDA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2.2.</w:t>
            </w:r>
          </w:p>
        </w:tc>
        <w:tc>
          <w:tcPr>
            <w:tcW w:w="8645" w:type="dxa"/>
            <w:gridSpan w:val="2"/>
            <w:tcBorders>
              <w:top w:val="single" w:sz="4" w:space="0" w:color="BFBFBF"/>
              <w:bottom w:val="single" w:sz="4" w:space="0" w:color="BFBFBF"/>
            </w:tcBorders>
          </w:tcPr>
          <w:p w14:paraId="1C9BC1D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</w:rPr>
              <w:t>Вид прав, удостоверенных ЦФА</w:t>
            </w:r>
          </w:p>
        </w:tc>
      </w:tr>
      <w:tr w:rsidR="00562384" w:rsidRPr="00562384" w14:paraId="1D6D610A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2FF49B3E" w14:textId="77777777" w:rsidR="00562384" w:rsidRPr="00562384" w:rsidRDefault="00562384" w:rsidP="00562384">
            <w:pPr>
              <w:rPr>
                <w:rFonts w:ascii="Arial Narrow" w:eastAsia="Calibri" w:hAnsi="Arial Narrow" w:cs="Arial"/>
                <w:color w:val="808080"/>
                <w:sz w:val="20"/>
                <w:szCs w:val="20"/>
              </w:rPr>
            </w:pPr>
          </w:p>
        </w:tc>
        <w:tc>
          <w:tcPr>
            <w:tcW w:w="8645" w:type="dxa"/>
            <w:gridSpan w:val="2"/>
            <w:tcBorders>
              <w:top w:val="single" w:sz="4" w:space="0" w:color="BFBFBF"/>
              <w:bottom w:val="single" w:sz="4" w:space="0" w:color="BFBFBF"/>
            </w:tcBorders>
          </w:tcPr>
          <w:p w14:paraId="55F470BD" w14:textId="77777777" w:rsidR="00562384" w:rsidRPr="00562384" w:rsidRDefault="00562384" w:rsidP="00562384">
            <w:pPr>
              <w:rPr>
                <w:rFonts w:ascii="Arial Narrow" w:eastAsia="Calibri" w:hAnsi="Arial Narrow" w:cs="Arial"/>
                <w:color w:val="0D0D28"/>
              </w:rPr>
            </w:pPr>
            <w:r w:rsidRPr="00562384">
              <w:rPr>
                <w:rFonts w:ascii="Arial Narrow" w:eastAsia="Calibri" w:hAnsi="Arial Narrow" w:cs="Arial"/>
                <w:color w:val="0D0D28"/>
              </w:rPr>
              <w:t>Обладатель ЦФА имеет право на получение единовременной выплаты от Эмитента в Дату погашения ЦФА. Размер выплаты определяется по следующему алгоритму:</w:t>
            </w:r>
          </w:p>
          <w:p w14:paraId="1D95ECFC" w14:textId="77777777" w:rsidR="00562384" w:rsidRPr="00562384" w:rsidRDefault="00562384" w:rsidP="00562384">
            <w:pPr>
              <w:rPr>
                <w:rFonts w:ascii="Arial Narrow" w:eastAsia="Calibri" w:hAnsi="Arial Narrow" w:cs="Arial"/>
                <w:color w:val="0D0D28"/>
              </w:rPr>
            </w:pPr>
          </w:p>
          <w:p w14:paraId="117376B6" w14:textId="230960E3" w:rsidR="00562384" w:rsidRPr="007756CD" w:rsidRDefault="00B06C78" w:rsidP="00B06C78">
            <w:pPr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>Гарантированная выплата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color w:val="0D0D28"/>
                </w:rPr>
                <m:t>.</m:t>
              </m:r>
            </m:oMath>
            <w:r w:rsidRPr="007756CD">
              <w:rPr>
                <w:rFonts w:ascii="Arial Narrow" w:eastAsia="Calibri" w:hAnsi="Arial Narrow" w:cs="Arial"/>
                <w:color w:val="0D0D28"/>
              </w:rPr>
              <w:t xml:space="preserve"> Обладатель ЦФА получает: </w:t>
            </w:r>
          </w:p>
          <w:p w14:paraId="29759F18" w14:textId="39D6A487" w:rsidR="00B06C78" w:rsidRPr="007756CD" w:rsidRDefault="00B06C78" w:rsidP="00B06C78">
            <w:pPr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 xml:space="preserve">- </w:t>
            </w:r>
            <w:r w:rsidR="00895D2A" w:rsidRPr="007756CD">
              <w:rPr>
                <w:rFonts w:ascii="Arial Narrow" w:eastAsia="Calibri" w:hAnsi="Arial Narrow" w:cs="Arial"/>
                <w:color w:val="0D0D28"/>
              </w:rPr>
              <w:t>сумму в размере Цены приобретения</w:t>
            </w:r>
            <w:r w:rsidRPr="007756CD">
              <w:rPr>
                <w:rFonts w:ascii="Arial Narrow" w:eastAsia="Calibri" w:hAnsi="Arial Narrow" w:cs="Arial"/>
                <w:color w:val="0D0D28"/>
              </w:rPr>
              <w:t xml:space="preserve"> ЦФА</w:t>
            </w:r>
            <w:r w:rsidR="00895D2A" w:rsidRPr="007756CD">
              <w:rPr>
                <w:rFonts w:ascii="Arial Narrow" w:eastAsia="Calibri" w:hAnsi="Arial Narrow" w:cs="Arial"/>
                <w:color w:val="0D0D28"/>
              </w:rPr>
              <w:t>;</w:t>
            </w:r>
          </w:p>
          <w:p w14:paraId="2AA8381B" w14:textId="6DA9ECF6" w:rsidR="00B06C78" w:rsidRPr="007756CD" w:rsidRDefault="00B06C78" w:rsidP="00B06C78">
            <w:pPr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>- гарантированный доход в размере 1 (Один) рубль</w:t>
            </w:r>
            <w:r w:rsidR="00895D2A" w:rsidRPr="007756CD">
              <w:rPr>
                <w:rFonts w:ascii="Arial Narrow" w:eastAsia="Calibri" w:hAnsi="Arial Narrow" w:cs="Arial"/>
                <w:color w:val="0D0D28"/>
              </w:rPr>
              <w:t xml:space="preserve"> («Гарантированный доход»);</w:t>
            </w:r>
          </w:p>
          <w:p w14:paraId="7499AACC" w14:textId="103CCC48" w:rsidR="00B06C78" w:rsidRPr="007756CD" w:rsidRDefault="00B06C78" w:rsidP="00B06C78">
            <w:pPr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 xml:space="preserve">- дополнительный </w:t>
            </w:r>
            <w:proofErr w:type="gramStart"/>
            <w:r w:rsidRPr="007756CD">
              <w:rPr>
                <w:rFonts w:ascii="Arial Narrow" w:eastAsia="Calibri" w:hAnsi="Arial Narrow" w:cs="Arial"/>
                <w:color w:val="0D0D28"/>
              </w:rPr>
              <w:t xml:space="preserve">доход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D0D28"/>
                    </w:rPr>
                    <m:t>ДД%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</m:oMath>
            <w:r w:rsidR="00895D2A" w:rsidRPr="007756CD">
              <w:rPr>
                <w:rFonts w:ascii="Arial Narrow" w:eastAsia="Calibri" w:hAnsi="Arial Narrow" w:cs="Arial"/>
                <w:color w:val="0D0D28"/>
              </w:rPr>
              <w:t>.</w:t>
            </w:r>
            <w:proofErr w:type="gramEnd"/>
          </w:p>
          <w:p w14:paraId="1C08515D" w14:textId="77777777" w:rsidR="00562384" w:rsidRPr="007756CD" w:rsidRDefault="00562384" w:rsidP="00562384">
            <w:pPr>
              <w:rPr>
                <w:rFonts w:ascii="Arial Narrow" w:eastAsia="Calibri" w:hAnsi="Arial Narrow" w:cs="Arial"/>
                <w:color w:val="0D0D28"/>
              </w:rPr>
            </w:pPr>
          </w:p>
          <w:p w14:paraId="2B2A7E20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>Для начисления Дополнительного дохода по выпускаемым ЦФА применяется процентная ставка, рассчитываемая по формуле:</w:t>
            </w:r>
          </w:p>
          <w:p w14:paraId="183565C6" w14:textId="33238110" w:rsidR="001B0435" w:rsidRPr="007756CD" w:rsidRDefault="00471361" w:rsidP="001B0435">
            <w:pPr>
              <w:jc w:val="center"/>
              <w:rPr>
                <w:rFonts w:ascii="Arial Narrow" w:eastAsia="Calibri" w:hAnsi="Arial Narrow" w:cs="Arial"/>
                <w:color w:val="0D0D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D0D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0D0D28"/>
                      </w:rPr>
                      <m:t>ДД%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D0D28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D0D28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D0D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D0D28"/>
                      </w:rPr>
                      <m:t>Cr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D0D28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D0D28"/>
                  </w:rPr>
                  <m:t>+1.5%, где</m:t>
                </m:r>
              </m:oMath>
            </m:oMathPara>
          </w:p>
          <w:p w14:paraId="538E0FBB" w14:textId="77777777" w:rsidR="001B0435" w:rsidRPr="007756CD" w:rsidRDefault="00471361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D0D28"/>
                    </w:rPr>
                    <m:t>ДД%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</m:oMath>
            <w:r w:rsidR="001B0435" w:rsidRPr="007756CD">
              <w:rPr>
                <w:rFonts w:ascii="Arial Narrow" w:eastAsia="Calibri" w:hAnsi="Arial Narrow" w:cs="Arial"/>
                <w:color w:val="0D0D28"/>
              </w:rPr>
              <w:t xml:space="preserve"> – размер процентной ставки для начисления Дополнительного дохода в i-ю Дату выплаты Дополнительного дохода по ЦФА, в процентах годовых;</w:t>
            </w:r>
          </w:p>
          <w:p w14:paraId="0BFE589F" w14:textId="1D8343BB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 xml:space="preserve">i </w:t>
            </w:r>
            <w:r w:rsidR="006F2766" w:rsidRPr="007756CD">
              <w:rPr>
                <w:rFonts w:ascii="Arial Narrow" w:eastAsia="Calibri" w:hAnsi="Arial Narrow" w:cs="Arial"/>
                <w:color w:val="0D0D28"/>
              </w:rPr>
              <w:t>–</w:t>
            </w:r>
            <w:r w:rsidRPr="007756CD">
              <w:rPr>
                <w:rFonts w:ascii="Arial Narrow" w:eastAsia="Calibri" w:hAnsi="Arial Narrow" w:cs="Arial"/>
                <w:color w:val="0D0D28"/>
              </w:rPr>
              <w:t xml:space="preserve"> </w:t>
            </w:r>
            <w:r w:rsidRPr="007756CD">
              <w:rPr>
                <w:rFonts w:ascii="Arial Narrow" w:eastAsia="Calibri" w:hAnsi="Arial Narrow" w:cs="Arial"/>
                <w:color w:val="0D0D28"/>
              </w:rPr>
              <w:tab/>
              <w:t>порядковый номер расчетного периода для начисления Дополнительного дохода, в соответствии с Графиком расчетных периодов для начисления Дополнительного дохода по ЦФА;</w:t>
            </w:r>
          </w:p>
          <w:p w14:paraId="379A7D84" w14:textId="77777777" w:rsidR="001B0435" w:rsidRPr="007756CD" w:rsidRDefault="00471361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Cr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</m:oMath>
            <w:r w:rsidR="001B0435" w:rsidRPr="007756CD">
              <w:rPr>
                <w:rFonts w:ascii="Arial Narrow" w:eastAsia="Calibri" w:hAnsi="Arial Narrow" w:cs="Arial"/>
                <w:color w:val="0D0D28"/>
              </w:rPr>
              <w:t xml:space="preserve"> – среднее арифметическое значение Ключевой ставки Банка России, рассчитываемое по формуле: </w:t>
            </w:r>
          </w:p>
          <w:p w14:paraId="3CCDFBCF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</w:p>
          <w:p w14:paraId="4541F948" w14:textId="17D88751" w:rsidR="001B0435" w:rsidRPr="007756CD" w:rsidRDefault="00471361" w:rsidP="001B0435">
            <w:pPr>
              <w:jc w:val="center"/>
              <w:rPr>
                <w:rFonts w:ascii="Arial Narrow" w:eastAsia="Calibri" w:hAnsi="Arial Narrow" w:cs="Arial"/>
                <w:color w:val="0D0D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D0D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D0D28"/>
                      </w:rPr>
                      <m:t>Cr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D0D28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D0D28"/>
                  </w:rPr>
                  <m:t>=</m:t>
                </m:r>
                <m:nary>
                  <m:naryPr>
                    <m:chr m:val="∑"/>
                    <m:ctrlPr>
                      <w:rPr>
                        <w:rFonts w:ascii="Cambria Math" w:eastAsia="Cambria Math" w:hAnsi="Cambria Math" w:cs="Cambria Math"/>
                        <w:color w:val="0D0D28"/>
                      </w:rPr>
                    </m:ctrlPr>
                  </m:naryPr>
                  <m:sub>
                    <m:r>
                      <w:rPr>
                        <w:rFonts w:ascii="Cambria Math" w:eastAsia="Cambria Math" w:hAnsi="Cambria Math" w:cs="Cambria Math"/>
                        <w:color w:val="0D0D28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0D0D28"/>
                      </w:rPr>
                      <m:t>=1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color w:val="0D0D2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color w:val="0D0D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color w:val="0D0D28"/>
                          </w:rPr>
                          <m:t>i</m:t>
                        </m:r>
                      </m:sub>
                    </m:sSub>
                  </m:sup>
                  <m:e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color w:val="0D0D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color w:val="0D0D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mbria Math" w:hAnsi="Cambria Math" w:cs="Cambria Math"/>
                                <w:color w:val="0D0D28"/>
                              </w:rPr>
                              <m:t>С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  <w:color w:val="0D0D28"/>
                              </w:rPr>
                              <m:t>j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color w:val="0D0D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  <w:color w:val="0D0D28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  <w:color w:val="0D0D28"/>
                              </w:rPr>
                              <m:t>i</m:t>
                            </m:r>
                          </m:sub>
                        </m:sSub>
                      </m:den>
                    </m:f>
                  </m:e>
                </m:nary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D0D28"/>
                  </w:rPr>
                  <m:t>, где</m:t>
                </m:r>
              </m:oMath>
            </m:oMathPara>
          </w:p>
          <w:p w14:paraId="0F052B22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</w:p>
          <w:p w14:paraId="54546103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>j – порядковый номер каждого из календарных дней i-</w:t>
            </w:r>
            <w:proofErr w:type="spellStart"/>
            <w:r w:rsidRPr="007756CD">
              <w:rPr>
                <w:rFonts w:ascii="Arial Narrow" w:eastAsia="Calibri" w:hAnsi="Arial Narrow" w:cs="Arial"/>
                <w:color w:val="0D0D28"/>
              </w:rPr>
              <w:t>го</w:t>
            </w:r>
            <w:proofErr w:type="spellEnd"/>
            <w:r w:rsidRPr="007756CD">
              <w:rPr>
                <w:rFonts w:ascii="Arial Narrow" w:eastAsia="Calibri" w:hAnsi="Arial Narrow" w:cs="Arial"/>
                <w:color w:val="0D0D28"/>
              </w:rPr>
              <w:t xml:space="preserve"> расчетного периода;</w:t>
            </w:r>
          </w:p>
          <w:p w14:paraId="441A89A1" w14:textId="77777777" w:rsidR="001B0435" w:rsidRPr="007756CD" w:rsidRDefault="00471361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eastAsia="Cambria Math" w:hAnsi="Cambria Math" w:cs="Cambria Math"/>
                  <w:color w:val="0D0D28"/>
                </w:rPr>
                <m:t xml:space="preserve"> </m:t>
              </m:r>
            </m:oMath>
            <w:r w:rsidR="001B0435" w:rsidRPr="007756CD">
              <w:rPr>
                <w:rFonts w:ascii="Arial Narrow" w:eastAsia="Calibri" w:hAnsi="Arial Narrow" w:cs="Arial"/>
                <w:color w:val="0D0D28"/>
              </w:rPr>
              <w:t>– Ключевая ставка Банка России, действующая по состоян</w:t>
            </w:r>
            <w:proofErr w:type="spellStart"/>
            <w:r w:rsidR="001B0435" w:rsidRPr="007756CD">
              <w:rPr>
                <w:rFonts w:ascii="Arial Narrow" w:eastAsia="Calibri" w:hAnsi="Arial Narrow" w:cs="Arial"/>
                <w:color w:val="0D0D28"/>
              </w:rPr>
              <w:t>ию</w:t>
            </w:r>
            <w:proofErr w:type="spellEnd"/>
            <w:r w:rsidR="001B0435" w:rsidRPr="007756CD">
              <w:rPr>
                <w:rFonts w:ascii="Arial Narrow" w:eastAsia="Calibri" w:hAnsi="Arial Narrow" w:cs="Arial"/>
                <w:color w:val="0D0D28"/>
              </w:rPr>
              <w:t xml:space="preserve"> на каждый календарный день i-</w:t>
            </w:r>
            <w:proofErr w:type="spellStart"/>
            <w:r w:rsidR="001B0435" w:rsidRPr="007756CD">
              <w:rPr>
                <w:rFonts w:ascii="Arial Narrow" w:eastAsia="Calibri" w:hAnsi="Arial Narrow" w:cs="Arial"/>
                <w:color w:val="0D0D28"/>
              </w:rPr>
              <w:t>го</w:t>
            </w:r>
            <w:proofErr w:type="spellEnd"/>
            <w:r w:rsidR="001B0435" w:rsidRPr="007756CD">
              <w:rPr>
                <w:rFonts w:ascii="Arial Narrow" w:eastAsia="Calibri" w:hAnsi="Arial Narrow" w:cs="Arial"/>
                <w:color w:val="0D0D28"/>
              </w:rPr>
              <w:t xml:space="preserve"> периода;</w:t>
            </w:r>
          </w:p>
          <w:p w14:paraId="491EC1A6" w14:textId="77777777" w:rsidR="001B0435" w:rsidRPr="007756CD" w:rsidRDefault="00471361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D0D28"/>
                    </w:rPr>
                    <m:t>Т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</m:oMath>
            <w:r w:rsidR="001B0435" w:rsidRPr="007756CD">
              <w:rPr>
                <w:rFonts w:ascii="Arial Narrow" w:eastAsia="Calibri" w:hAnsi="Arial Narrow" w:cs="Arial"/>
                <w:color w:val="0D0D28"/>
              </w:rPr>
              <w:t xml:space="preserve"> – общее количество календарных дней i-го расчетного периода.</w:t>
            </w:r>
          </w:p>
          <w:p w14:paraId="3BF7E72E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>Рассчитанное по формуле среднее арифметическое значение Ключевой ставки Банка России не подлежит округлению.</w:t>
            </w:r>
          </w:p>
          <w:p w14:paraId="306C9C70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 xml:space="preserve">Если Банк России устанавливает процентную ставку, замещающую, эквивалентную или аналогичную Ключевой ставке, то с даты определения Банком России такой процентной </w:t>
            </w:r>
            <w:proofErr w:type="gramStart"/>
            <w:r w:rsidRPr="007756CD">
              <w:rPr>
                <w:rFonts w:ascii="Arial Narrow" w:eastAsia="Calibri" w:hAnsi="Arial Narrow" w:cs="Arial"/>
                <w:color w:val="0D0D28"/>
              </w:rPr>
              <w:t xml:space="preserve">ставки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j</m:t>
                  </m:r>
                </m:sub>
              </m:sSub>
            </m:oMath>
            <w:r w:rsidRPr="007756CD">
              <w:rPr>
                <w:rFonts w:ascii="Arial Narrow" w:eastAsia="Calibri" w:hAnsi="Arial Narrow" w:cs="Arial"/>
                <w:color w:val="0D0D28"/>
              </w:rPr>
              <w:t xml:space="preserve"> рассчитывается</w:t>
            </w:r>
            <w:proofErr w:type="gramEnd"/>
            <w:r w:rsidRPr="007756CD">
              <w:rPr>
                <w:rFonts w:ascii="Arial Narrow" w:eastAsia="Calibri" w:hAnsi="Arial Narrow" w:cs="Arial"/>
                <w:color w:val="0D0D28"/>
              </w:rPr>
              <w:t xml:space="preserve"> исходя из такой процентной ставки. </w:t>
            </w:r>
          </w:p>
          <w:p w14:paraId="51BA4E87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bookmarkStart w:id="2" w:name="_44sinio" w:colFirst="0" w:colLast="0"/>
            <w:bookmarkEnd w:id="2"/>
            <w:r w:rsidRPr="007756CD">
              <w:rPr>
                <w:rFonts w:ascii="Arial Narrow" w:eastAsia="Calibri" w:hAnsi="Arial Narrow" w:cs="Arial"/>
                <w:color w:val="0D0D28"/>
              </w:rPr>
              <w:t xml:space="preserve">Выплаты начисленного Дополнительного дохода по ЦФА производятся в соответствии с Графиком выплаты дополнительного дохода по ЦФА, предусмотренным настоящим Решением о Выпуске ЦФА. </w:t>
            </w:r>
          </w:p>
          <w:p w14:paraId="1D02E3DF" w14:textId="77777777" w:rsidR="00975435" w:rsidRPr="007756CD" w:rsidRDefault="00975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</w:p>
          <w:p w14:paraId="2A56B569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 xml:space="preserve">Начисление Дополнительного дохода осуществляется исходя из фактического размера Цены приобретения ЦФА, размера Дополнительного дохода (в процентах годовых), периода начисления Дополнительного дохода в течение срока действия прав ЦФА, количества дней в году (для расчета Дополнительного дохода применяется база 365 дней) и количества ЦФА в Кошельке Инвестора. </w:t>
            </w:r>
          </w:p>
          <w:p w14:paraId="5B7A40F4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>График расчетных периодов для начисления Дополнительного дохода по ЦФА (с учетом периодичности выплат, указанных в Графике выплаты дополнительного дохода по ЦФА):</w:t>
            </w:r>
          </w:p>
          <w:p w14:paraId="11758E67" w14:textId="77777777" w:rsidR="00B06C78" w:rsidRPr="007756CD" w:rsidRDefault="00B06C78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</w:p>
          <w:tbl>
            <w:tblPr>
              <w:tblpPr w:leftFromText="180" w:rightFromText="180" w:vertAnchor="text" w:horzAnchor="margin" w:tblpY="-19"/>
              <w:tblOverlap w:val="never"/>
              <w:tblW w:w="82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402"/>
              <w:gridCol w:w="2374"/>
              <w:gridCol w:w="2478"/>
              <w:gridCol w:w="1962"/>
            </w:tblGrid>
            <w:tr w:rsidR="006F2766" w:rsidRPr="007756CD" w14:paraId="2136D3A8" w14:textId="77777777" w:rsidTr="00AC07DA">
              <w:trPr>
                <w:trHeight w:val="977"/>
              </w:trPr>
              <w:tc>
                <w:tcPr>
                  <w:tcW w:w="1402" w:type="dxa"/>
                </w:tcPr>
                <w:p w14:paraId="0454851C" w14:textId="77777777" w:rsidR="006F2766" w:rsidRPr="007756CD" w:rsidRDefault="006F2766" w:rsidP="006F2766">
                  <w:pPr>
                    <w:spacing w:before="120"/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Номер расчетного периода (i)</w:t>
                  </w:r>
                </w:p>
              </w:tc>
              <w:tc>
                <w:tcPr>
                  <w:tcW w:w="2374" w:type="dxa"/>
                </w:tcPr>
                <w:p w14:paraId="39834256" w14:textId="6B5B1380" w:rsidR="006F2766" w:rsidRPr="007756CD" w:rsidRDefault="006F2766" w:rsidP="006F2766">
                  <w:pPr>
                    <w:spacing w:before="120"/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Дата начала расчетного периода (не включается)</w:t>
                  </w:r>
                </w:p>
                <w:p w14:paraId="7B94BBCC" w14:textId="77777777" w:rsidR="006F2766" w:rsidRPr="007756CD" w:rsidRDefault="006F2766" w:rsidP="006F2766">
                  <w:pPr>
                    <w:spacing w:before="120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</w:p>
              </w:tc>
              <w:tc>
                <w:tcPr>
                  <w:tcW w:w="2478" w:type="dxa"/>
                </w:tcPr>
                <w:p w14:paraId="13F58A28" w14:textId="4D33A204" w:rsidR="006F2766" w:rsidRPr="007756CD" w:rsidRDefault="006F2766" w:rsidP="006F2766">
                  <w:pPr>
                    <w:spacing w:before="120"/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Дата окончания расчетного периода (включительно)</w:t>
                  </w:r>
                </w:p>
              </w:tc>
              <w:tc>
                <w:tcPr>
                  <w:tcW w:w="1962" w:type="dxa"/>
                </w:tcPr>
                <w:p w14:paraId="4DC1DC8C" w14:textId="413D5753" w:rsidR="006F2766" w:rsidRPr="007756CD" w:rsidRDefault="006F2766" w:rsidP="006F2766">
                  <w:pPr>
                    <w:spacing w:before="120"/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Общее количество календарных дней в расчетном периоде (</w:t>
                  </w:r>
                  <m:oMath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color w:val="0D0D28"/>
                            <w:kern w:val="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color w:val="0D0D28"/>
                            <w:kern w:val="2"/>
                          </w:rPr>
                          <m:t>Т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color w:val="0D0D28"/>
                            <w:kern w:val="2"/>
                          </w:rPr>
                          <m:t>i</m:t>
                        </m:r>
                      </m:sub>
                    </m:sSub>
                  </m:oMath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 xml:space="preserve">) </w:t>
                  </w:r>
                </w:p>
              </w:tc>
            </w:tr>
            <w:tr w:rsidR="006F2766" w:rsidRPr="007756CD" w14:paraId="4C49EE0C" w14:textId="77777777" w:rsidTr="00AC07DA">
              <w:tc>
                <w:tcPr>
                  <w:tcW w:w="1402" w:type="dxa"/>
                </w:tcPr>
                <w:p w14:paraId="4F62A3FB" w14:textId="77777777" w:rsidR="006F2766" w:rsidRPr="007756CD" w:rsidRDefault="006F2766" w:rsidP="006F2766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1</w:t>
                  </w:r>
                </w:p>
              </w:tc>
              <w:tc>
                <w:tcPr>
                  <w:tcW w:w="2374" w:type="dxa"/>
                </w:tcPr>
                <w:p w14:paraId="1639A6C2" w14:textId="1A8CD69B" w:rsidR="006F2766" w:rsidRPr="007756CD" w:rsidRDefault="008A3CBA" w:rsidP="006F2766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471361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22</w:t>
                  </w:r>
                  <w:r w:rsidR="006F2766"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.11.2024</w:t>
                  </w:r>
                </w:p>
              </w:tc>
              <w:tc>
                <w:tcPr>
                  <w:tcW w:w="2478" w:type="dxa"/>
                </w:tcPr>
                <w:p w14:paraId="3CBF1A66" w14:textId="6858E804" w:rsidR="006F2766" w:rsidRPr="007756CD" w:rsidRDefault="008A3CBA" w:rsidP="006F2766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471361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24</w:t>
                  </w:r>
                  <w:r w:rsidR="006F2766"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.</w:t>
                  </w:r>
                  <w:r w:rsid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11</w:t>
                  </w:r>
                  <w:r w:rsidR="006F2766"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.2025</w:t>
                  </w:r>
                </w:p>
              </w:tc>
              <w:tc>
                <w:tcPr>
                  <w:tcW w:w="1962" w:type="dxa"/>
                </w:tcPr>
                <w:p w14:paraId="0A647E32" w14:textId="2012E100" w:rsidR="008A3CBA" w:rsidRPr="007756CD" w:rsidRDefault="008A3CBA" w:rsidP="008A3CBA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367</w:t>
                  </w:r>
                </w:p>
              </w:tc>
            </w:tr>
          </w:tbl>
          <w:p w14:paraId="305F66FF" w14:textId="2A41241B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 xml:space="preserve">Расчет суммы Дополнительного дохода по ЦФА, подлежащего выплате в Дату выплаты Дополнительного дохода на 1 (Один) ЦФА осуществляется по следующей формуле: </w:t>
            </w:r>
          </w:p>
          <w:p w14:paraId="56FF0D04" w14:textId="7E8E6D3E" w:rsidR="001B0435" w:rsidRPr="007756CD" w:rsidRDefault="00471361" w:rsidP="001B0435">
            <w:pPr>
              <w:spacing w:before="120"/>
              <w:jc w:val="center"/>
              <w:rPr>
                <w:rFonts w:ascii="Arial Narrow" w:eastAsia="Calibri" w:hAnsi="Arial Narrow" w:cs="Arial"/>
                <w:color w:val="0D0D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D0D28"/>
                    </w:rPr>
                    <m:t>ДД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mbria Math" w:hAnsi="Cambria Math" w:cs="Cambria Math"/>
                  <w:color w:val="0D0D28"/>
                </w:rPr>
                <m:t>=ЦП×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D0D28"/>
                    </w:rPr>
                    <m:t>ДД%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mbria Math" w:hAnsi="Cambria Math" w:cs="Cambria Math"/>
                  <w:color w:val="0D0D28"/>
                </w:rPr>
                <m:t>×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T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mbria Math" w:hAnsi="Cambria Math" w:cs="Cambria Math"/>
                  <w:color w:val="0D0D28"/>
                </w:rPr>
                <m:t>÷365</m:t>
              </m:r>
            </m:oMath>
            <w:r w:rsidR="001B0435" w:rsidRPr="007756CD">
              <w:rPr>
                <w:rFonts w:ascii="Arial Narrow" w:eastAsia="Calibri" w:hAnsi="Arial Narrow" w:cs="Arial"/>
                <w:color w:val="0D0D28"/>
              </w:rPr>
              <w:t>, где</w:t>
            </w:r>
          </w:p>
          <w:bookmarkStart w:id="3" w:name="_2jxsxqh" w:colFirst="0" w:colLast="0"/>
          <w:bookmarkEnd w:id="3"/>
          <w:p w14:paraId="11A33E21" w14:textId="77777777" w:rsidR="001B0435" w:rsidRPr="007756CD" w:rsidRDefault="00471361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D0D28"/>
                    </w:rPr>
                    <m:t>ДД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</m:oMath>
            <w:r w:rsidR="001B0435" w:rsidRPr="007756CD">
              <w:rPr>
                <w:rFonts w:ascii="Arial Narrow" w:eastAsia="Calibri" w:hAnsi="Arial Narrow" w:cs="Arial"/>
                <w:color w:val="0D0D28"/>
              </w:rPr>
              <w:t xml:space="preserve"> – величина Дополнительного дохода на 1 (Один) ЦФА в i-ю Дату выплаты, установленную Графиком выплаты дополнительного дохода по ЦФА, в российских рублях;</w:t>
            </w:r>
          </w:p>
          <w:p w14:paraId="3E932C24" w14:textId="3901DF88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 xml:space="preserve">i </w:t>
            </w:r>
            <w:r w:rsidR="006F2766" w:rsidRPr="007756CD">
              <w:rPr>
                <w:rFonts w:ascii="Arial Narrow" w:eastAsia="Calibri" w:hAnsi="Arial Narrow" w:cs="Arial"/>
                <w:color w:val="0D0D28"/>
              </w:rPr>
              <w:t>–</w:t>
            </w:r>
            <w:r w:rsidRPr="007756CD">
              <w:rPr>
                <w:rFonts w:ascii="Arial Narrow" w:eastAsia="Calibri" w:hAnsi="Arial Narrow" w:cs="Arial"/>
                <w:color w:val="0D0D28"/>
              </w:rPr>
              <w:t xml:space="preserve"> </w:t>
            </w:r>
            <w:r w:rsidRPr="007756CD">
              <w:rPr>
                <w:rFonts w:ascii="Arial Narrow" w:eastAsia="Calibri" w:hAnsi="Arial Narrow" w:cs="Arial"/>
                <w:color w:val="0D0D28"/>
              </w:rPr>
              <w:tab/>
              <w:t>порядковый номер расчетного периода для начисления Дополнительного дохода, в соответствии с Графиком расчетных периодов для начисления Дополнительного дохода по ЦФА;</w:t>
            </w:r>
          </w:p>
          <w:p w14:paraId="2F1124BD" w14:textId="4863A652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>ЦП – Цена приобретения 1 (Одной) штуки ЦФА;</w:t>
            </w:r>
          </w:p>
          <w:p w14:paraId="3FBB4153" w14:textId="17E92F90" w:rsidR="001B0435" w:rsidRPr="007756CD" w:rsidRDefault="00471361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D0D28"/>
                    </w:rPr>
                    <m:t>ДД%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</m:oMath>
            <w:r w:rsidR="001B0435" w:rsidRPr="007756CD">
              <w:rPr>
                <w:rFonts w:ascii="Arial Narrow" w:eastAsia="Calibri" w:hAnsi="Arial Narrow" w:cs="Arial"/>
                <w:color w:val="0D0D28"/>
              </w:rPr>
              <w:t xml:space="preserve"> – размер процентной ставки для начисления Дополнительного дохода в i-ю Дату выплаты Дополнительного дохода по ЦФА, в пр</w:t>
            </w:r>
            <w:proofErr w:type="spellStart"/>
            <w:r w:rsidR="001B0435" w:rsidRPr="007756CD">
              <w:rPr>
                <w:rFonts w:ascii="Arial Narrow" w:eastAsia="Calibri" w:hAnsi="Arial Narrow" w:cs="Arial"/>
                <w:color w:val="0D0D28"/>
              </w:rPr>
              <w:t>оцентах</w:t>
            </w:r>
            <w:proofErr w:type="spellEnd"/>
            <w:r w:rsidR="001B0435" w:rsidRPr="007756CD">
              <w:rPr>
                <w:rFonts w:ascii="Arial Narrow" w:eastAsia="Calibri" w:hAnsi="Arial Narrow" w:cs="Arial"/>
                <w:color w:val="0D0D28"/>
              </w:rPr>
              <w:t xml:space="preserve"> годовых;</w:t>
            </w:r>
          </w:p>
          <w:bookmarkStart w:id="4" w:name="_z337ya" w:colFirst="0" w:colLast="0"/>
          <w:bookmarkEnd w:id="4"/>
          <w:p w14:paraId="0DC5DEC1" w14:textId="77777777" w:rsidR="001B0435" w:rsidRPr="007756CD" w:rsidRDefault="00471361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D0D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D0D28"/>
                    </w:rPr>
                    <m:t>Т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D0D28"/>
                    </w:rPr>
                    <m:t>i</m:t>
                  </m:r>
                </m:sub>
              </m:sSub>
            </m:oMath>
            <w:r w:rsidR="001B0435" w:rsidRPr="007756CD">
              <w:rPr>
                <w:rFonts w:ascii="Arial Narrow" w:eastAsia="Calibri" w:hAnsi="Arial Narrow" w:cs="Arial"/>
                <w:color w:val="0D0D28"/>
              </w:rPr>
              <w:t xml:space="preserve"> – общее количество календарных дней в расчетном i-ом периоде, указанном в графике расчетных периодов для начисления Дополнительного дохода по ЦФА </w:t>
            </w:r>
          </w:p>
          <w:p w14:paraId="7AFF3E2B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 xml:space="preserve">Полученная сумма Дополнительного дохода на 1 (Один) ЦФА рассчитывается с точностью до второго знака после запятой (округление второго знака после запятой производится по правилам математического округления: в случае, если третий знак после запятой больше или равен 5, второй знак после запятой увеличивается на единицу в случае, если третий знак после запятой меньше 5, второй знак после запятой не изменяется). </w:t>
            </w:r>
          </w:p>
          <w:p w14:paraId="00590C13" w14:textId="77777777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bookmarkStart w:id="5" w:name="_3j2qqm3" w:colFirst="0" w:colLast="0"/>
            <w:bookmarkEnd w:id="5"/>
            <w:r w:rsidRPr="007756CD">
              <w:rPr>
                <w:rFonts w:ascii="Arial Narrow" w:eastAsia="Calibri" w:hAnsi="Arial Narrow" w:cs="Arial"/>
                <w:color w:val="0D0D28"/>
              </w:rPr>
              <w:t>Эмитентом не устанавливаются дополнительные условия (обстоятельства), от которых зависят Выплаты по ЦФА.</w:t>
            </w:r>
          </w:p>
          <w:p w14:paraId="7330DF4F" w14:textId="435F77B6" w:rsidR="001B0435" w:rsidRPr="007756CD" w:rsidRDefault="001B0435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>Эмитент осуществляет Выплаты по ЦФА в соответствии с Графиками, указанными в настоящем пункте Решения о Выпуске ЦФА, в следующей последовательности: вначале выплачивается Дополнительный доход, а затем</w:t>
            </w:r>
            <w:r w:rsidR="00895D2A" w:rsidRPr="007756CD">
              <w:rPr>
                <w:rFonts w:ascii="Arial Narrow" w:eastAsia="Calibri" w:hAnsi="Arial Narrow" w:cs="Arial"/>
                <w:color w:val="0D0D28"/>
              </w:rPr>
              <w:t xml:space="preserve"> Гарантированный доход и</w:t>
            </w:r>
            <w:r w:rsidRPr="007756CD">
              <w:rPr>
                <w:rFonts w:ascii="Arial Narrow" w:eastAsia="Calibri" w:hAnsi="Arial Narrow" w:cs="Arial"/>
                <w:color w:val="0D0D28"/>
              </w:rPr>
              <w:t xml:space="preserve"> выплата в размере Цены приобретения ЦФА. </w:t>
            </w:r>
          </w:p>
          <w:p w14:paraId="6FBCD428" w14:textId="7ACC163D" w:rsidR="00895D2A" w:rsidRPr="007756CD" w:rsidRDefault="00895D2A" w:rsidP="00895D2A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>График выплат по ЦФА:</w:t>
            </w:r>
          </w:p>
          <w:tbl>
            <w:tblPr>
              <w:tblpPr w:leftFromText="180" w:rightFromText="180" w:vertAnchor="text" w:horzAnchor="margin" w:tblpY="46"/>
              <w:tblOverlap w:val="never"/>
              <w:tblW w:w="866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888"/>
              <w:gridCol w:w="1888"/>
              <w:gridCol w:w="2443"/>
              <w:gridCol w:w="2443"/>
            </w:tblGrid>
            <w:tr w:rsidR="00895D2A" w:rsidRPr="007756CD" w14:paraId="6B9C3EFD" w14:textId="2A58F282" w:rsidTr="00AC07DA">
              <w:trPr>
                <w:trHeight w:val="55"/>
              </w:trPr>
              <w:tc>
                <w:tcPr>
                  <w:tcW w:w="1090" w:type="pct"/>
                </w:tcPr>
                <w:p w14:paraId="4061C2BF" w14:textId="261946AA" w:rsidR="00895D2A" w:rsidRPr="007756CD" w:rsidRDefault="00895D2A" w:rsidP="00895D2A">
                  <w:pPr>
                    <w:spacing w:before="120"/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 xml:space="preserve">Номер выплаты </w:t>
                  </w:r>
                </w:p>
              </w:tc>
              <w:tc>
                <w:tcPr>
                  <w:tcW w:w="1090" w:type="pct"/>
                  <w:tcBorders>
                    <w:right w:val="single" w:sz="4" w:space="0" w:color="auto"/>
                  </w:tcBorders>
                </w:tcPr>
                <w:p w14:paraId="09EEAA68" w14:textId="6A82B528" w:rsidR="00895D2A" w:rsidRPr="007756CD" w:rsidRDefault="00895D2A" w:rsidP="00895D2A">
                  <w:pPr>
                    <w:spacing w:before="120"/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Дата</w:t>
                  </w:r>
                  <w:r w:rsidR="001500C8"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 xml:space="preserve"> и время</w:t>
                  </w: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 xml:space="preserve"> выплаты </w:t>
                  </w:r>
                </w:p>
                <w:p w14:paraId="0178EF69" w14:textId="33C2C91C" w:rsidR="001500C8" w:rsidRPr="007756CD" w:rsidRDefault="001500C8" w:rsidP="00895D2A">
                  <w:pPr>
                    <w:spacing w:before="120"/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Московское время (GMT+3)</w:t>
                  </w:r>
                </w:p>
              </w:tc>
              <w:tc>
                <w:tcPr>
                  <w:tcW w:w="14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53057" w14:textId="77777777" w:rsidR="00895D2A" w:rsidRPr="007756CD" w:rsidRDefault="00895D2A" w:rsidP="00895D2A">
                  <w:pPr>
                    <w:spacing w:before="120"/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Вид выплаты</w:t>
                  </w:r>
                </w:p>
              </w:tc>
              <w:tc>
                <w:tcPr>
                  <w:tcW w:w="14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C3E18" w14:textId="4EFBF024" w:rsidR="00895D2A" w:rsidRPr="007756CD" w:rsidRDefault="00895D2A" w:rsidP="00895D2A">
                  <w:pPr>
                    <w:spacing w:before="120"/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Сумма</w:t>
                  </w:r>
                </w:p>
              </w:tc>
            </w:tr>
            <w:tr w:rsidR="00895D2A" w:rsidRPr="007756CD" w14:paraId="51DC901C" w14:textId="7A62AC4B" w:rsidTr="00AC07DA">
              <w:tc>
                <w:tcPr>
                  <w:tcW w:w="1090" w:type="pct"/>
                </w:tcPr>
                <w:p w14:paraId="7D2F2F87" w14:textId="77777777" w:rsidR="00895D2A" w:rsidRPr="007756CD" w:rsidRDefault="00895D2A" w:rsidP="00895D2A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1</w:t>
                  </w:r>
                </w:p>
              </w:tc>
              <w:tc>
                <w:tcPr>
                  <w:tcW w:w="1090" w:type="pct"/>
                  <w:tcBorders>
                    <w:right w:val="single" w:sz="4" w:space="0" w:color="auto"/>
                  </w:tcBorders>
                </w:tcPr>
                <w:p w14:paraId="163F4568" w14:textId="4F66082E" w:rsidR="00895D2A" w:rsidRPr="007756CD" w:rsidRDefault="007756CD" w:rsidP="008A3CBA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2</w:t>
                  </w:r>
                  <w:r w:rsidR="008A3CBA">
                    <w:rPr>
                      <w:rFonts w:ascii="Arial Narrow" w:eastAsia="Calibri" w:hAnsi="Arial Narrow" w:cs="Arial"/>
                      <w:color w:val="0D0D28"/>
                      <w:kern w:val="2"/>
                      <w:lang w:val="en-US"/>
                    </w:rPr>
                    <w:t>4</w:t>
                  </w:r>
                  <w:r w:rsidR="00895D2A"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.</w:t>
                  </w: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11</w:t>
                  </w:r>
                  <w:r w:rsidR="00895D2A"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.2025</w:t>
                  </w:r>
                  <w:r w:rsidR="001500C8"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, 15:00</w:t>
                  </w:r>
                </w:p>
              </w:tc>
              <w:tc>
                <w:tcPr>
                  <w:tcW w:w="14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67E6" w14:textId="77777777" w:rsidR="00895D2A" w:rsidRPr="007756CD" w:rsidRDefault="00895D2A" w:rsidP="00895D2A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Дополнительный доход (ДД1)</w:t>
                  </w:r>
                </w:p>
              </w:tc>
              <w:tc>
                <w:tcPr>
                  <w:tcW w:w="14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78B2DB" w14:textId="6DA68D7E" w:rsidR="00895D2A" w:rsidRPr="007756CD" w:rsidRDefault="00895D2A" w:rsidP="00895D2A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Рассчитывается по формуле</w:t>
                  </w:r>
                </w:p>
              </w:tc>
            </w:tr>
            <w:tr w:rsidR="00895D2A" w:rsidRPr="007756CD" w14:paraId="2F258D14" w14:textId="4F724DE7" w:rsidTr="00AC07DA">
              <w:tc>
                <w:tcPr>
                  <w:tcW w:w="1090" w:type="pct"/>
                </w:tcPr>
                <w:p w14:paraId="15916CCC" w14:textId="77777777" w:rsidR="00895D2A" w:rsidRPr="007756CD" w:rsidRDefault="00895D2A" w:rsidP="00895D2A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2</w:t>
                  </w:r>
                </w:p>
              </w:tc>
              <w:tc>
                <w:tcPr>
                  <w:tcW w:w="1090" w:type="pct"/>
                  <w:tcBorders>
                    <w:right w:val="single" w:sz="4" w:space="0" w:color="auto"/>
                  </w:tcBorders>
                </w:tcPr>
                <w:p w14:paraId="070793CC" w14:textId="054F20D3" w:rsidR="00895D2A" w:rsidRPr="007756CD" w:rsidRDefault="007756CD" w:rsidP="008A3CBA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>
                    <w:rPr>
                      <w:rFonts w:ascii="Arial Narrow" w:eastAsia="Calibri" w:hAnsi="Arial Narrow" w:cs="Arial"/>
                      <w:color w:val="0D0D28"/>
                      <w:kern w:val="2"/>
                      <w:lang w:val="en-US"/>
                    </w:rPr>
                    <w:t>2</w:t>
                  </w:r>
                  <w:r w:rsidR="008A3CBA">
                    <w:rPr>
                      <w:rFonts w:ascii="Arial Narrow" w:eastAsia="Calibri" w:hAnsi="Arial Narrow" w:cs="Arial"/>
                      <w:color w:val="0D0D28"/>
                      <w:kern w:val="2"/>
                      <w:lang w:val="en-US"/>
                    </w:rPr>
                    <w:t>4</w:t>
                  </w:r>
                  <w:r w:rsidR="009C0B23"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.11.2025</w:t>
                  </w:r>
                  <w:r w:rsidR="001500C8"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, 16:00</w:t>
                  </w:r>
                </w:p>
              </w:tc>
              <w:tc>
                <w:tcPr>
                  <w:tcW w:w="14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DA9BD" w14:textId="77777777" w:rsidR="00895D2A" w:rsidRPr="007756CD" w:rsidRDefault="00895D2A" w:rsidP="00895D2A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Цена приобретения и гарантированная доходность</w:t>
                  </w:r>
                </w:p>
              </w:tc>
              <w:tc>
                <w:tcPr>
                  <w:tcW w:w="14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388A8" w14:textId="7C436635" w:rsidR="00895D2A" w:rsidRPr="007756CD" w:rsidRDefault="00895D2A" w:rsidP="00895D2A">
                  <w:pPr>
                    <w:jc w:val="center"/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</w:pPr>
                  <w:r w:rsidRPr="007756CD">
                    <w:rPr>
                      <w:rFonts w:ascii="Arial Narrow" w:eastAsia="Calibri" w:hAnsi="Arial Narrow" w:cs="Arial"/>
                      <w:color w:val="0D0D28"/>
                      <w:kern w:val="2"/>
                    </w:rPr>
                    <w:t>1001 рубль</w:t>
                  </w:r>
                </w:p>
              </w:tc>
            </w:tr>
          </w:tbl>
          <w:p w14:paraId="72061261" w14:textId="77777777" w:rsidR="00895D2A" w:rsidRPr="007756CD" w:rsidRDefault="00895D2A" w:rsidP="001B0435">
            <w:pPr>
              <w:spacing w:before="120"/>
              <w:jc w:val="both"/>
              <w:rPr>
                <w:rFonts w:ascii="Arial Narrow" w:eastAsia="Calibri" w:hAnsi="Arial Narrow" w:cs="Arial"/>
                <w:color w:val="0D0D28"/>
              </w:rPr>
            </w:pPr>
          </w:p>
          <w:p w14:paraId="34F3D290" w14:textId="77777777" w:rsidR="001B0435" w:rsidRPr="007756CD" w:rsidRDefault="001B0435" w:rsidP="001B0435">
            <w:pPr>
              <w:spacing w:before="120" w:after="120"/>
              <w:jc w:val="both"/>
              <w:rPr>
                <w:rFonts w:ascii="Arial Narrow" w:eastAsia="Calibri" w:hAnsi="Arial Narrow" w:cs="Arial"/>
                <w:color w:val="0D0D28"/>
              </w:rPr>
            </w:pPr>
            <w:r w:rsidRPr="007756CD">
              <w:rPr>
                <w:rFonts w:ascii="Arial Narrow" w:eastAsia="Calibri" w:hAnsi="Arial Narrow" w:cs="Arial"/>
                <w:color w:val="0D0D28"/>
              </w:rPr>
              <w:t xml:space="preserve">Выплаты по ЦФА для исполнения обязательств Эмитента перед всеми Инвесторами осуществляются в равном значении из расчета на 1 (Один) ЦФА с учетом количества ЦФА в Кошельке Инвестора и последовательности Выплат по ЦФА, установленной Решением о Выпуске ЦФА. </w:t>
            </w:r>
          </w:p>
          <w:p w14:paraId="08E19FBB" w14:textId="204C46B9" w:rsidR="001B0435" w:rsidRPr="007756CD" w:rsidRDefault="001B0435" w:rsidP="001B0435">
            <w:pPr>
              <w:spacing w:before="120" w:after="120"/>
              <w:jc w:val="both"/>
              <w:rPr>
                <w:rFonts w:ascii="Arial Narrow" w:eastAsia="Calibri" w:hAnsi="Arial Narrow" w:cs="Arial"/>
                <w:color w:val="0D0D28"/>
              </w:rPr>
            </w:pPr>
            <w:bookmarkStart w:id="6" w:name="_1y810tw" w:colFirst="0" w:colLast="0"/>
            <w:bookmarkEnd w:id="6"/>
          </w:p>
          <w:p w14:paraId="58C4D6EB" w14:textId="52B96C00" w:rsidR="001B0435" w:rsidRPr="007756CD" w:rsidRDefault="001B0435" w:rsidP="001B0435">
            <w:pPr>
              <w:rPr>
                <w:rFonts w:ascii="Arial Narrow" w:eastAsia="Calibri" w:hAnsi="Arial Narrow" w:cs="Arial"/>
                <w:color w:val="0D0D28"/>
              </w:rPr>
            </w:pPr>
            <w:bookmarkStart w:id="7" w:name="_4i7ojhp" w:colFirst="0" w:colLast="0"/>
            <w:bookmarkEnd w:id="7"/>
            <w:r w:rsidRPr="007756CD">
              <w:rPr>
                <w:rFonts w:ascii="Arial Narrow" w:eastAsia="Calibri" w:hAnsi="Arial Narrow" w:cs="Arial"/>
                <w:color w:val="0D0D28"/>
              </w:rPr>
              <w:t>Исполнение Эмитентом обязательств осуществляется в порядке и сроки, определенные в настоящем Решении о Выпуске ЦФА.  Исполнение обязательств по выплате Инвесторам денежных средств в размере Цены приобретения ЦФА является основанием для внесения в Систему записи о погашении ЦФА. Запись в Систему о погашении ЦФА вносится в дату полного исполнения обязательств Эмитента, удостоверяемых ЦФА</w:t>
            </w:r>
          </w:p>
          <w:p w14:paraId="1275DE80" w14:textId="77777777" w:rsidR="001B0435" w:rsidRPr="007756CD" w:rsidRDefault="001B0435" w:rsidP="00562384">
            <w:pPr>
              <w:rPr>
                <w:rFonts w:ascii="Arial Narrow" w:eastAsia="Calibri" w:hAnsi="Arial Narrow" w:cs="Arial"/>
                <w:color w:val="0D0D28"/>
              </w:rPr>
            </w:pPr>
          </w:p>
          <w:p w14:paraId="5E9BE357" w14:textId="77777777" w:rsidR="001B0435" w:rsidRPr="007756CD" w:rsidRDefault="001B0435" w:rsidP="00562384">
            <w:pPr>
              <w:rPr>
                <w:rFonts w:ascii="Arial Narrow" w:eastAsia="Calibri" w:hAnsi="Arial Narrow" w:cs="Arial"/>
                <w:color w:val="0D0D28"/>
              </w:rPr>
            </w:pPr>
          </w:p>
        </w:tc>
      </w:tr>
      <w:tr w:rsidR="00562384" w:rsidRPr="00562384" w14:paraId="24890C3E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08308DB5" w14:textId="463A53CA" w:rsidR="00562384" w:rsidRPr="00562384" w:rsidRDefault="00AE006E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49B920C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Цена приобретения ЦФА при выпуске (номинальная стоимость)</w:t>
            </w:r>
          </w:p>
        </w:tc>
        <w:tc>
          <w:tcPr>
            <w:tcW w:w="6377" w:type="dxa"/>
            <w:tcBorders>
              <w:top w:val="single" w:sz="4" w:space="0" w:color="BFBFBF"/>
              <w:bottom w:val="single" w:sz="4" w:space="0" w:color="BFBFBF"/>
            </w:tcBorders>
          </w:tcPr>
          <w:p w14:paraId="5E2AA1A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</w:rPr>
              <w:t xml:space="preserve">1 000 </w:t>
            </w:r>
            <w:r w:rsidRPr="00562384">
              <w:rPr>
                <w:rFonts w:ascii="Arial" w:eastAsia="Calibri" w:hAnsi="Arial" w:cs="Arial"/>
                <w:b/>
                <w:bCs/>
              </w:rPr>
              <w:t>₽</w:t>
            </w:r>
          </w:p>
        </w:tc>
      </w:tr>
      <w:tr w:rsidR="00562384" w:rsidRPr="00562384" w14:paraId="53B1D454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38A7685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2.4.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09598AF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Дата погашения </w:t>
            </w:r>
            <w:r w:rsidRPr="00562384">
              <w:rPr>
                <w:rFonts w:ascii="Arial Narrow" w:eastAsia="Calibri" w:hAnsi="Arial Narrow" w:cs="Times New Roman"/>
                <w:color w:val="808080"/>
              </w:rPr>
              <w:t>Московское время (</w:t>
            </w:r>
            <w:r w:rsidRPr="00562384">
              <w:rPr>
                <w:rFonts w:ascii="Arial Narrow" w:eastAsia="Calibri" w:hAnsi="Arial Narrow" w:cs="Times New Roman"/>
                <w:color w:val="808080"/>
                <w:lang w:val="en-US"/>
              </w:rPr>
              <w:t>GMT</w:t>
            </w:r>
            <w:r w:rsidRPr="00562384">
              <w:rPr>
                <w:rFonts w:ascii="Arial Narrow" w:eastAsia="Calibri" w:hAnsi="Arial Narrow" w:cs="Times New Roman"/>
                <w:color w:val="808080"/>
              </w:rPr>
              <w:t>+3)</w:t>
            </w:r>
          </w:p>
        </w:tc>
        <w:tc>
          <w:tcPr>
            <w:tcW w:w="6377" w:type="dxa"/>
            <w:tcBorders>
              <w:top w:val="single" w:sz="4" w:space="0" w:color="BFBFBF"/>
              <w:bottom w:val="single" w:sz="4" w:space="0" w:color="BFBFBF"/>
            </w:tcBorders>
          </w:tcPr>
          <w:p w14:paraId="4B3537FD" w14:textId="061756A5" w:rsidR="00562384" w:rsidRPr="00975435" w:rsidRDefault="007756CD" w:rsidP="008A3CBA">
            <w:pPr>
              <w:rPr>
                <w:rFonts w:ascii="Arial Narrow" w:eastAsia="Calibri" w:hAnsi="Arial Narrow" w:cs="Times New Roman"/>
                <w:b/>
                <w:bCs/>
                <w:color w:val="00B050"/>
                <w:highlight w:val="yellow"/>
              </w:rPr>
            </w:pPr>
            <w:r w:rsidRPr="007756CD">
              <w:rPr>
                <w:rFonts w:ascii="Arial Narrow" w:eastAsia="Calibri" w:hAnsi="Arial Narrow" w:cs="Times New Roman"/>
                <w:b/>
                <w:bCs/>
              </w:rPr>
              <w:t>2</w:t>
            </w:r>
            <w:r w:rsidR="008A3CBA">
              <w:rPr>
                <w:rFonts w:ascii="Arial Narrow" w:eastAsia="Calibri" w:hAnsi="Arial Narrow" w:cs="Times New Roman"/>
                <w:b/>
                <w:bCs/>
                <w:lang w:val="en-US"/>
              </w:rPr>
              <w:t>4</w:t>
            </w:r>
            <w:r w:rsidR="009B0193" w:rsidRPr="007756CD">
              <w:rPr>
                <w:rFonts w:ascii="Arial Narrow" w:eastAsia="Calibri" w:hAnsi="Arial Narrow" w:cs="Times New Roman"/>
                <w:b/>
                <w:bCs/>
              </w:rPr>
              <w:t>.</w:t>
            </w:r>
            <w:r w:rsidR="009C0B23" w:rsidRPr="007756CD">
              <w:rPr>
                <w:rFonts w:ascii="Arial Narrow" w:eastAsia="Calibri" w:hAnsi="Arial Narrow" w:cs="Times New Roman"/>
                <w:b/>
                <w:bCs/>
              </w:rPr>
              <w:t>11</w:t>
            </w:r>
            <w:r w:rsidR="00562384" w:rsidRPr="007756CD">
              <w:rPr>
                <w:rFonts w:ascii="Arial Narrow" w:eastAsia="Calibri" w:hAnsi="Arial Narrow" w:cs="Times New Roman"/>
                <w:b/>
                <w:bCs/>
              </w:rPr>
              <w:t>.2025 в 16:00</w:t>
            </w:r>
          </w:p>
        </w:tc>
      </w:tr>
      <w:tr w:rsidR="00562384" w:rsidRPr="00562384" w14:paraId="252293B8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682B782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2.5.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66AE322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  <w:r w:rsidRPr="00562384">
              <w:rPr>
                <w:rFonts w:ascii="Arial Narrow" w:eastAsia="Calibri" w:hAnsi="Arial Narrow" w:cs="Times New Roman"/>
                <w:color w:val="000000"/>
              </w:rPr>
              <w:t>Дополнительные обязательства Эмитента</w:t>
            </w:r>
          </w:p>
        </w:tc>
        <w:tc>
          <w:tcPr>
            <w:tcW w:w="6377" w:type="dxa"/>
            <w:tcBorders>
              <w:top w:val="single" w:sz="4" w:space="0" w:color="BFBFBF"/>
              <w:bottom w:val="single" w:sz="4" w:space="0" w:color="BFBFBF"/>
            </w:tcBorders>
          </w:tcPr>
          <w:p w14:paraId="43C62FB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</w:rPr>
              <w:t>Отсутствуют</w:t>
            </w:r>
          </w:p>
        </w:tc>
      </w:tr>
      <w:tr w:rsidR="00AE006E" w:rsidRPr="00562384" w14:paraId="2801F5F5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762934D1" w14:textId="796841D7" w:rsidR="00AE006E" w:rsidRPr="00562384" w:rsidRDefault="00AE006E" w:rsidP="00AE006E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2.7.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25DC1D41" w14:textId="2FB2BFF4" w:rsidR="00AE006E" w:rsidRPr="00562384" w:rsidRDefault="00AE006E" w:rsidP="00AE006E">
            <w:pPr>
              <w:rPr>
                <w:rFonts w:ascii="Arial Narrow" w:eastAsia="Calibri" w:hAnsi="Arial Narrow" w:cs="Times New Roman"/>
                <w:color w:val="000000"/>
              </w:rPr>
            </w:pPr>
            <w:r>
              <w:rPr>
                <w:rFonts w:ascii="Arial Narrow" w:hAnsi="Arial Narrow"/>
              </w:rPr>
              <w:t>Тип цифрового права</w:t>
            </w:r>
          </w:p>
        </w:tc>
        <w:tc>
          <w:tcPr>
            <w:tcW w:w="6377" w:type="dxa"/>
            <w:tcBorders>
              <w:top w:val="single" w:sz="4" w:space="0" w:color="BFBFBF"/>
              <w:bottom w:val="single" w:sz="4" w:space="0" w:color="BFBFBF"/>
            </w:tcBorders>
          </w:tcPr>
          <w:p w14:paraId="085B0CAD" w14:textId="6415D92D" w:rsidR="00AE006E" w:rsidRPr="00AE006E" w:rsidRDefault="00AE006E" w:rsidP="00AE006E">
            <w:pPr>
              <w:rPr>
                <w:rFonts w:ascii="Arial Narrow" w:eastAsia="Calibri" w:hAnsi="Arial Narrow" w:cs="Times New Roman"/>
                <w:color w:val="808080"/>
                <w:lang w:val="en-US"/>
              </w:rPr>
            </w:pPr>
            <w:r>
              <w:rPr>
                <w:rFonts w:ascii="Arial Narrow" w:eastAsia="Calibri" w:hAnsi="Arial Narrow" w:cs="Times New Roman"/>
                <w:color w:val="808080"/>
                <w:lang w:val="en-US"/>
              </w:rPr>
              <w:t>DFA1</w:t>
            </w:r>
          </w:p>
        </w:tc>
      </w:tr>
    </w:tbl>
    <w:p w14:paraId="3A89D1CF" w14:textId="77777777" w:rsidR="00562384" w:rsidRP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</w:rPr>
      </w:pPr>
    </w:p>
    <w:tbl>
      <w:tblPr>
        <w:tblStyle w:val="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410"/>
        <w:gridCol w:w="3118"/>
        <w:gridCol w:w="3117"/>
      </w:tblGrid>
      <w:tr w:rsidR="00562384" w:rsidRPr="00562384" w14:paraId="030840F4" w14:textId="77777777" w:rsidTr="00562384">
        <w:tc>
          <w:tcPr>
            <w:tcW w:w="709" w:type="dxa"/>
            <w:tcBorders>
              <w:bottom w:val="single" w:sz="4" w:space="0" w:color="BFBFBF"/>
            </w:tcBorders>
          </w:tcPr>
          <w:p w14:paraId="5442D57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3.</w:t>
            </w:r>
          </w:p>
        </w:tc>
        <w:tc>
          <w:tcPr>
            <w:tcW w:w="8645" w:type="dxa"/>
            <w:gridSpan w:val="3"/>
            <w:tcBorders>
              <w:bottom w:val="single" w:sz="4" w:space="0" w:color="BFBFBF"/>
            </w:tcBorders>
          </w:tcPr>
          <w:p w14:paraId="23049D0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</w:pPr>
            <w:bookmarkStart w:id="8" w:name="_Hlk156493567"/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Параметры выпуска</w:t>
            </w:r>
          </w:p>
        </w:tc>
      </w:tr>
      <w:tr w:rsidR="00562384" w:rsidRPr="00562384" w14:paraId="2F8A18F9" w14:textId="77777777" w:rsidTr="00562384">
        <w:trPr>
          <w:trHeight w:val="270"/>
        </w:trPr>
        <w:tc>
          <w:tcPr>
            <w:tcW w:w="709" w:type="dxa"/>
            <w:tcBorders>
              <w:top w:val="single" w:sz="4" w:space="0" w:color="BFBFBF"/>
            </w:tcBorders>
          </w:tcPr>
          <w:p w14:paraId="6EB0815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3.1.</w:t>
            </w:r>
          </w:p>
        </w:tc>
        <w:tc>
          <w:tcPr>
            <w:tcW w:w="2410" w:type="dxa"/>
            <w:vMerge w:val="restart"/>
            <w:tcBorders>
              <w:top w:val="single" w:sz="4" w:space="0" w:color="BFBFBF"/>
              <w:bottom w:val="single" w:sz="4" w:space="0" w:color="BFBFBF"/>
            </w:tcBorders>
          </w:tcPr>
          <w:p w14:paraId="045EE95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Наименование и 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тикер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 xml:space="preserve"> выпуска</w:t>
            </w:r>
          </w:p>
        </w:tc>
        <w:tc>
          <w:tcPr>
            <w:tcW w:w="3118" w:type="dxa"/>
            <w:tcBorders>
              <w:top w:val="single" w:sz="4" w:space="0" w:color="BFBFBF"/>
              <w:bottom w:val="single" w:sz="4" w:space="0" w:color="BFBFBF"/>
            </w:tcBorders>
          </w:tcPr>
          <w:p w14:paraId="482B377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</w:rPr>
              <w:t>Наименование</w:t>
            </w:r>
          </w:p>
        </w:tc>
        <w:tc>
          <w:tcPr>
            <w:tcW w:w="3117" w:type="dxa"/>
            <w:tcBorders>
              <w:top w:val="single" w:sz="4" w:space="0" w:color="BFBFBF"/>
              <w:bottom w:val="single" w:sz="4" w:space="0" w:color="BFBFBF"/>
            </w:tcBorders>
          </w:tcPr>
          <w:p w14:paraId="3CFC20F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</w:rPr>
            </w:pPr>
            <w:proofErr w:type="spellStart"/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</w:rPr>
              <w:t>Тикер</w:t>
            </w:r>
            <w:proofErr w:type="spellEnd"/>
          </w:p>
        </w:tc>
      </w:tr>
      <w:tr w:rsidR="00562384" w:rsidRPr="00562384" w14:paraId="4F927920" w14:textId="77777777" w:rsidTr="00562384">
        <w:trPr>
          <w:trHeight w:val="270"/>
        </w:trPr>
        <w:tc>
          <w:tcPr>
            <w:tcW w:w="709" w:type="dxa"/>
            <w:tcBorders>
              <w:bottom w:val="single" w:sz="4" w:space="0" w:color="BFBFBF"/>
            </w:tcBorders>
          </w:tcPr>
          <w:p w14:paraId="5FECCF7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BFBFBF"/>
              <w:bottom w:val="single" w:sz="4" w:space="0" w:color="BFBFBF"/>
            </w:tcBorders>
          </w:tcPr>
          <w:p w14:paraId="1AE0CFB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</w:tc>
        <w:tc>
          <w:tcPr>
            <w:tcW w:w="3118" w:type="dxa"/>
            <w:tcBorders>
              <w:top w:val="single" w:sz="4" w:space="0" w:color="BFBFBF"/>
              <w:bottom w:val="single" w:sz="4" w:space="0" w:color="BFBFBF"/>
            </w:tcBorders>
          </w:tcPr>
          <w:p w14:paraId="3D8E83FD" w14:textId="278C36CD" w:rsidR="00562384" w:rsidRPr="001B0435" w:rsidRDefault="00562384" w:rsidP="001B0435">
            <w:pPr>
              <w:rPr>
                <w:rFonts w:ascii="Arial Narrow" w:eastAsia="Calibri" w:hAnsi="Arial Narrow" w:cs="Times New Roman"/>
                <w:b/>
                <w:bCs/>
                <w:color w:val="0070C0"/>
              </w:rPr>
            </w:pPr>
            <w:r w:rsidRPr="001B0435">
              <w:rPr>
                <w:rFonts w:ascii="Arial Narrow" w:eastAsia="Calibri" w:hAnsi="Arial Narrow" w:cs="Times New Roman"/>
                <w:b/>
                <w:bCs/>
                <w:color w:val="0070C0"/>
              </w:rPr>
              <w:t xml:space="preserve">ТКБ: </w:t>
            </w:r>
            <w:r w:rsidR="001B0435" w:rsidRPr="001B0435">
              <w:rPr>
                <w:rFonts w:ascii="Arial Narrow" w:eastAsia="Calibri" w:hAnsi="Arial Narrow" w:cs="Times New Roman"/>
                <w:b/>
                <w:bCs/>
                <w:color w:val="0070C0"/>
              </w:rPr>
              <w:t>Плавающая ставка</w:t>
            </w:r>
            <w:r w:rsidR="009B0193" w:rsidRPr="001B0435">
              <w:rPr>
                <w:rFonts w:ascii="Arial Narrow" w:eastAsia="Calibri" w:hAnsi="Arial Narrow" w:cs="Times New Roman"/>
                <w:b/>
                <w:bCs/>
                <w:color w:val="0070C0"/>
              </w:rPr>
              <w:t>-</w:t>
            </w:r>
            <w:r w:rsidR="001B0435" w:rsidRPr="001B0435">
              <w:rPr>
                <w:rFonts w:ascii="Arial Narrow" w:eastAsia="Calibri" w:hAnsi="Arial Narrow" w:cs="Times New Roman"/>
                <w:b/>
                <w:bCs/>
                <w:color w:val="0070C0"/>
              </w:rPr>
              <w:t>4</w:t>
            </w:r>
            <w:r w:rsidRPr="001B0435">
              <w:rPr>
                <w:rFonts w:ascii="Arial Narrow" w:eastAsia="Calibri" w:hAnsi="Arial Narrow" w:cs="Times New Roman"/>
                <w:b/>
                <w:bCs/>
                <w:color w:val="0070C0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BFBFBF"/>
              <w:bottom w:val="single" w:sz="4" w:space="0" w:color="BFBFBF"/>
            </w:tcBorders>
          </w:tcPr>
          <w:p w14:paraId="1F6A6431" w14:textId="49B5FF74" w:rsidR="00562384" w:rsidRPr="001B0435" w:rsidRDefault="00562384" w:rsidP="001B0435">
            <w:pPr>
              <w:rPr>
                <w:rFonts w:ascii="Arial Narrow" w:eastAsia="Calibri" w:hAnsi="Arial Narrow" w:cs="Times New Roman"/>
                <w:color w:val="0070C0"/>
              </w:rPr>
            </w:pPr>
            <w:r w:rsidRPr="001B0435">
              <w:rPr>
                <w:rFonts w:ascii="Arial Narrow" w:eastAsia="Calibri" w:hAnsi="Arial Narrow" w:cs="Times New Roman"/>
                <w:color w:val="0070C0"/>
                <w:lang w:val="en-US"/>
              </w:rPr>
              <w:t>TKB</w:t>
            </w:r>
            <w:r w:rsidR="001B0435" w:rsidRPr="001B0435">
              <w:rPr>
                <w:rFonts w:ascii="Arial Narrow" w:eastAsia="Calibri" w:hAnsi="Arial Narrow" w:cs="Times New Roman"/>
                <w:color w:val="0070C0"/>
              </w:rPr>
              <w:t>4</w:t>
            </w:r>
          </w:p>
        </w:tc>
      </w:tr>
      <w:tr w:rsidR="00562384" w:rsidRPr="00562384" w14:paraId="3A4541E7" w14:textId="77777777" w:rsidTr="00562384">
        <w:trPr>
          <w:trHeight w:val="270"/>
        </w:trPr>
        <w:tc>
          <w:tcPr>
            <w:tcW w:w="709" w:type="dxa"/>
            <w:tcBorders>
              <w:top w:val="single" w:sz="4" w:space="0" w:color="BFBFBF"/>
            </w:tcBorders>
          </w:tcPr>
          <w:p w14:paraId="413DABD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3.2.</w:t>
            </w:r>
          </w:p>
        </w:tc>
        <w:tc>
          <w:tcPr>
            <w:tcW w:w="2410" w:type="dxa"/>
            <w:vMerge w:val="restart"/>
            <w:tcBorders>
              <w:top w:val="single" w:sz="4" w:space="0" w:color="BFBFBF"/>
              <w:bottom w:val="single" w:sz="4" w:space="0" w:color="BFBFBF"/>
            </w:tcBorders>
          </w:tcPr>
          <w:p w14:paraId="75F67AE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Даты приема заявок на приобретение ЦФА</w:t>
            </w:r>
          </w:p>
        </w:tc>
        <w:tc>
          <w:tcPr>
            <w:tcW w:w="3118" w:type="dxa"/>
            <w:tcBorders>
              <w:top w:val="single" w:sz="4" w:space="0" w:color="BFBFBF"/>
              <w:bottom w:val="single" w:sz="4" w:space="0" w:color="BFBFBF"/>
            </w:tcBorders>
          </w:tcPr>
          <w:p w14:paraId="0BD5A5F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</w:rPr>
              <w:t xml:space="preserve">Начало </w:t>
            </w:r>
          </w:p>
          <w:p w14:paraId="1E4BE70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</w:rPr>
              <w:t>Московское время (</w:t>
            </w:r>
            <w:r w:rsidRPr="00562384">
              <w:rPr>
                <w:rFonts w:ascii="Arial Narrow" w:eastAsia="Calibri" w:hAnsi="Arial Narrow" w:cs="Times New Roman"/>
                <w:color w:val="808080"/>
                <w:lang w:val="en-US"/>
              </w:rPr>
              <w:t>GMT</w:t>
            </w:r>
            <w:r w:rsidRPr="00562384">
              <w:rPr>
                <w:rFonts w:ascii="Arial Narrow" w:eastAsia="Calibri" w:hAnsi="Arial Narrow" w:cs="Times New Roman"/>
                <w:color w:val="808080"/>
              </w:rPr>
              <w:t>+3)</w:t>
            </w:r>
          </w:p>
        </w:tc>
        <w:tc>
          <w:tcPr>
            <w:tcW w:w="3117" w:type="dxa"/>
            <w:tcBorders>
              <w:top w:val="single" w:sz="4" w:space="0" w:color="BFBFBF"/>
              <w:bottom w:val="single" w:sz="4" w:space="0" w:color="BFBFBF"/>
            </w:tcBorders>
          </w:tcPr>
          <w:p w14:paraId="60EB585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</w:rPr>
              <w:t>Окончание</w:t>
            </w:r>
          </w:p>
          <w:p w14:paraId="3FA8655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</w:rPr>
              <w:t>Московское время (</w:t>
            </w:r>
            <w:r w:rsidRPr="00562384">
              <w:rPr>
                <w:rFonts w:ascii="Arial Narrow" w:eastAsia="Calibri" w:hAnsi="Arial Narrow" w:cs="Times New Roman"/>
                <w:color w:val="808080"/>
                <w:lang w:val="en-US"/>
              </w:rPr>
              <w:t>GMT</w:t>
            </w:r>
            <w:r w:rsidRPr="00562384">
              <w:rPr>
                <w:rFonts w:ascii="Arial Narrow" w:eastAsia="Calibri" w:hAnsi="Arial Narrow" w:cs="Times New Roman"/>
                <w:color w:val="808080"/>
              </w:rPr>
              <w:t>+3)</w:t>
            </w:r>
          </w:p>
        </w:tc>
      </w:tr>
      <w:tr w:rsidR="00562384" w:rsidRPr="00562384" w14:paraId="381822F4" w14:textId="77777777" w:rsidTr="00562384">
        <w:trPr>
          <w:trHeight w:val="270"/>
        </w:trPr>
        <w:tc>
          <w:tcPr>
            <w:tcW w:w="709" w:type="dxa"/>
            <w:tcBorders>
              <w:bottom w:val="single" w:sz="4" w:space="0" w:color="BFBFBF"/>
            </w:tcBorders>
          </w:tcPr>
          <w:p w14:paraId="0DFE1FB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BFBFBF"/>
              <w:bottom w:val="single" w:sz="4" w:space="0" w:color="BFBFBF"/>
            </w:tcBorders>
          </w:tcPr>
          <w:p w14:paraId="6912D54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</w:tc>
        <w:tc>
          <w:tcPr>
            <w:tcW w:w="3118" w:type="dxa"/>
            <w:tcBorders>
              <w:top w:val="single" w:sz="4" w:space="0" w:color="BFBFBF"/>
              <w:bottom w:val="single" w:sz="4" w:space="0" w:color="BFBFBF"/>
            </w:tcBorders>
          </w:tcPr>
          <w:p w14:paraId="128C773C" w14:textId="15F7C450" w:rsidR="00562384" w:rsidRPr="007756CD" w:rsidRDefault="007756CD" w:rsidP="001B0435">
            <w:pPr>
              <w:rPr>
                <w:rFonts w:ascii="Arial Narrow" w:eastAsia="Calibri" w:hAnsi="Arial Narrow" w:cs="Times New Roman"/>
                <w:b/>
                <w:bCs/>
                <w:lang w:val="en-US"/>
              </w:rPr>
            </w:pPr>
            <w:r w:rsidRPr="007756CD">
              <w:rPr>
                <w:rFonts w:ascii="Arial Narrow" w:eastAsia="Calibri" w:hAnsi="Arial Narrow" w:cs="Times New Roman"/>
                <w:b/>
                <w:bCs/>
              </w:rPr>
              <w:t>18</w:t>
            </w:r>
            <w:r w:rsidR="009B0193" w:rsidRPr="007756CD">
              <w:rPr>
                <w:rFonts w:ascii="Arial Narrow" w:eastAsia="Calibri" w:hAnsi="Arial Narrow" w:cs="Times New Roman"/>
                <w:b/>
                <w:bCs/>
              </w:rPr>
              <w:t>.</w:t>
            </w:r>
            <w:r w:rsidR="001B0435" w:rsidRPr="007756CD">
              <w:rPr>
                <w:rFonts w:ascii="Arial Narrow" w:eastAsia="Calibri" w:hAnsi="Arial Narrow" w:cs="Times New Roman"/>
                <w:b/>
                <w:bCs/>
              </w:rPr>
              <w:t>11</w:t>
            </w:r>
            <w:r w:rsidR="00562384" w:rsidRPr="007756CD">
              <w:rPr>
                <w:rFonts w:ascii="Arial Narrow" w:eastAsia="Calibri" w:hAnsi="Arial Narrow" w:cs="Times New Roman"/>
                <w:b/>
                <w:bCs/>
              </w:rPr>
              <w:t>.2</w:t>
            </w:r>
            <w:r w:rsidR="00562384" w:rsidRPr="007756CD">
              <w:rPr>
                <w:rFonts w:ascii="Arial Narrow" w:eastAsia="Calibri" w:hAnsi="Arial Narrow" w:cs="Times New Roman"/>
                <w:b/>
                <w:bCs/>
                <w:lang w:val="en-US"/>
              </w:rPr>
              <w:t>024 в 10:00</w:t>
            </w:r>
          </w:p>
        </w:tc>
        <w:tc>
          <w:tcPr>
            <w:tcW w:w="3117" w:type="dxa"/>
            <w:tcBorders>
              <w:top w:val="single" w:sz="4" w:space="0" w:color="BFBFBF"/>
              <w:bottom w:val="single" w:sz="4" w:space="0" w:color="BFBFBF"/>
            </w:tcBorders>
          </w:tcPr>
          <w:p w14:paraId="31C6F0FF" w14:textId="04E94EA3" w:rsidR="00562384" w:rsidRPr="007756CD" w:rsidRDefault="007756CD" w:rsidP="001B0435">
            <w:pPr>
              <w:rPr>
                <w:rFonts w:ascii="Arial Narrow" w:eastAsia="Calibri" w:hAnsi="Arial Narrow" w:cs="Times New Roman"/>
                <w:b/>
                <w:bCs/>
                <w:lang w:val="en-US"/>
              </w:rPr>
            </w:pPr>
            <w:r w:rsidRPr="007756CD">
              <w:rPr>
                <w:rFonts w:ascii="Arial Narrow" w:eastAsia="Calibri" w:hAnsi="Arial Narrow" w:cs="Times New Roman"/>
                <w:b/>
                <w:bCs/>
              </w:rPr>
              <w:t>22</w:t>
            </w:r>
            <w:r w:rsidR="009B0193" w:rsidRPr="007756CD">
              <w:rPr>
                <w:rFonts w:ascii="Arial Narrow" w:eastAsia="Calibri" w:hAnsi="Arial Narrow" w:cs="Times New Roman"/>
                <w:b/>
                <w:bCs/>
                <w:lang w:val="en-US"/>
              </w:rPr>
              <w:t>.</w:t>
            </w:r>
            <w:r w:rsidR="001B0435" w:rsidRPr="007756CD">
              <w:rPr>
                <w:rFonts w:ascii="Arial Narrow" w:eastAsia="Calibri" w:hAnsi="Arial Narrow" w:cs="Times New Roman"/>
                <w:b/>
                <w:bCs/>
              </w:rPr>
              <w:t>11</w:t>
            </w:r>
            <w:r w:rsidR="00562384" w:rsidRPr="007756CD">
              <w:rPr>
                <w:rFonts w:ascii="Arial Narrow" w:eastAsia="Calibri" w:hAnsi="Arial Narrow" w:cs="Times New Roman"/>
                <w:b/>
                <w:bCs/>
                <w:lang w:val="en-US"/>
              </w:rPr>
              <w:t>.2024 в 15:00</w:t>
            </w:r>
          </w:p>
        </w:tc>
      </w:tr>
      <w:tr w:rsidR="00562384" w:rsidRPr="00562384" w14:paraId="36C690EA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1101CCF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3.3.</w:t>
            </w:r>
          </w:p>
        </w:tc>
        <w:tc>
          <w:tcPr>
            <w:tcW w:w="2410" w:type="dxa"/>
            <w:tcBorders>
              <w:top w:val="single" w:sz="4" w:space="0" w:color="BFBFBF"/>
              <w:bottom w:val="single" w:sz="4" w:space="0" w:color="BFBFBF"/>
            </w:tcBorders>
          </w:tcPr>
          <w:p w14:paraId="0D2045B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Максимальное количество ЦФА</w:t>
            </w:r>
          </w:p>
        </w:tc>
        <w:tc>
          <w:tcPr>
            <w:tcW w:w="6235" w:type="dxa"/>
            <w:gridSpan w:val="2"/>
            <w:tcBorders>
              <w:top w:val="single" w:sz="4" w:space="0" w:color="BFBFBF"/>
              <w:bottom w:val="single" w:sz="4" w:space="0" w:color="BFBFBF"/>
            </w:tcBorders>
          </w:tcPr>
          <w:p w14:paraId="2A205E18" w14:textId="3AE25983" w:rsidR="00562384" w:rsidRPr="007756CD" w:rsidRDefault="001B0435" w:rsidP="00562384">
            <w:pPr>
              <w:rPr>
                <w:rFonts w:ascii="Arial Narrow" w:eastAsia="Calibri" w:hAnsi="Arial Narrow" w:cs="Times New Roman"/>
                <w:b/>
                <w:bCs/>
              </w:rPr>
            </w:pPr>
            <w:r w:rsidRPr="007756CD">
              <w:rPr>
                <w:rFonts w:ascii="Arial Narrow" w:eastAsia="Calibri" w:hAnsi="Arial Narrow" w:cs="Times New Roman"/>
                <w:b/>
                <w:bCs/>
              </w:rPr>
              <w:t>400 000</w:t>
            </w:r>
          </w:p>
        </w:tc>
      </w:tr>
      <w:tr w:rsidR="00562384" w:rsidRPr="00562384" w14:paraId="5D2574AD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7AB244C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3.4.</w:t>
            </w:r>
          </w:p>
        </w:tc>
        <w:tc>
          <w:tcPr>
            <w:tcW w:w="2410" w:type="dxa"/>
            <w:tcBorders>
              <w:top w:val="single" w:sz="4" w:space="0" w:color="BFBFBF"/>
              <w:bottom w:val="single" w:sz="4" w:space="0" w:color="BFBFBF"/>
            </w:tcBorders>
          </w:tcPr>
          <w:p w14:paraId="2406B74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Минимальное количество ЦФА</w:t>
            </w:r>
          </w:p>
        </w:tc>
        <w:tc>
          <w:tcPr>
            <w:tcW w:w="6235" w:type="dxa"/>
            <w:gridSpan w:val="2"/>
            <w:tcBorders>
              <w:top w:val="single" w:sz="4" w:space="0" w:color="BFBFBF"/>
              <w:bottom w:val="single" w:sz="4" w:space="0" w:color="BFBFBF"/>
            </w:tcBorders>
          </w:tcPr>
          <w:p w14:paraId="30B2F9C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</w:rPr>
              <w:t>1</w:t>
            </w:r>
            <w:r w:rsidRPr="00562384">
              <w:rPr>
                <w:rFonts w:ascii="Arial Narrow" w:eastAsia="Calibri" w:hAnsi="Arial Narrow" w:cs="Times New Roman"/>
                <w:b/>
                <w:bCs/>
                <w:lang w:val="en-US"/>
              </w:rPr>
              <w:t> </w:t>
            </w:r>
            <w:r w:rsidRPr="00562384">
              <w:rPr>
                <w:rFonts w:ascii="Arial Narrow" w:eastAsia="Calibri" w:hAnsi="Arial Narrow" w:cs="Times New Roman"/>
                <w:b/>
                <w:bCs/>
              </w:rPr>
              <w:t>000</w:t>
            </w:r>
          </w:p>
        </w:tc>
      </w:tr>
      <w:tr w:rsidR="00562384" w:rsidRPr="00562384" w14:paraId="5FC31D63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00F9F6D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3.5.</w:t>
            </w:r>
          </w:p>
        </w:tc>
        <w:tc>
          <w:tcPr>
            <w:tcW w:w="2410" w:type="dxa"/>
            <w:tcBorders>
              <w:top w:val="single" w:sz="4" w:space="0" w:color="BFBFBF"/>
              <w:bottom w:val="single" w:sz="4" w:space="0" w:color="BFBFBF"/>
            </w:tcBorders>
          </w:tcPr>
          <w:p w14:paraId="107EDEA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Лица, которым адресовано решение о выпуске</w:t>
            </w:r>
          </w:p>
        </w:tc>
        <w:tc>
          <w:tcPr>
            <w:tcW w:w="6235" w:type="dxa"/>
            <w:gridSpan w:val="2"/>
            <w:tcBorders>
              <w:top w:val="single" w:sz="4" w:space="0" w:color="BFBFBF"/>
              <w:bottom w:val="single" w:sz="4" w:space="0" w:color="BFBFBF"/>
            </w:tcBorders>
          </w:tcPr>
          <w:p w14:paraId="6E30C35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Пользователи платформы 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Токеон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, кроме лиц, в отношении которых в соответствии с Федеральным законом от 30.12.2006 № 281-ФЗ «О специальных экономических мерах и принудительных мерах» установлен запрет на совершение сделок, либо в отношении которых введен особый порядок совершения сделок.</w:t>
            </w:r>
          </w:p>
        </w:tc>
      </w:tr>
      <w:bookmarkEnd w:id="8"/>
    </w:tbl>
    <w:p w14:paraId="5B4B3E59" w14:textId="77777777" w:rsidR="00562384" w:rsidRP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</w:rPr>
      </w:pPr>
    </w:p>
    <w:tbl>
      <w:tblPr>
        <w:tblStyle w:val="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410"/>
        <w:gridCol w:w="6235"/>
      </w:tblGrid>
      <w:tr w:rsidR="00562384" w:rsidRPr="00562384" w14:paraId="50DF76B4" w14:textId="77777777" w:rsidTr="00562384">
        <w:tc>
          <w:tcPr>
            <w:tcW w:w="709" w:type="dxa"/>
            <w:tcBorders>
              <w:bottom w:val="single" w:sz="4" w:space="0" w:color="BFBFBF"/>
            </w:tcBorders>
          </w:tcPr>
          <w:p w14:paraId="70A3BEE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4.</w:t>
            </w:r>
          </w:p>
        </w:tc>
        <w:tc>
          <w:tcPr>
            <w:tcW w:w="8645" w:type="dxa"/>
            <w:gridSpan w:val="2"/>
            <w:tcBorders>
              <w:bottom w:val="single" w:sz="4" w:space="0" w:color="BFBFBF"/>
            </w:tcBorders>
          </w:tcPr>
          <w:p w14:paraId="54E0D88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 xml:space="preserve">Обеспечение </w:t>
            </w:r>
          </w:p>
        </w:tc>
      </w:tr>
      <w:tr w:rsidR="00562384" w:rsidRPr="00562384" w14:paraId="2BCC3BFC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27D9B20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4.1.</w:t>
            </w:r>
          </w:p>
        </w:tc>
        <w:tc>
          <w:tcPr>
            <w:tcW w:w="2410" w:type="dxa"/>
            <w:tcBorders>
              <w:top w:val="single" w:sz="4" w:space="0" w:color="BFBFBF"/>
              <w:bottom w:val="single" w:sz="4" w:space="0" w:color="BFBFBF"/>
            </w:tcBorders>
          </w:tcPr>
          <w:p w14:paraId="659094A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Вид обеспечения</w:t>
            </w:r>
          </w:p>
        </w:tc>
        <w:tc>
          <w:tcPr>
            <w:tcW w:w="6235" w:type="dxa"/>
            <w:tcBorders>
              <w:top w:val="single" w:sz="4" w:space="0" w:color="BFBFBF"/>
              <w:bottom w:val="single" w:sz="4" w:space="0" w:color="BFBFBF"/>
            </w:tcBorders>
          </w:tcPr>
          <w:p w14:paraId="76A4CFF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</w:rPr>
              <w:t>Не предусмотрено</w:t>
            </w:r>
          </w:p>
        </w:tc>
      </w:tr>
    </w:tbl>
    <w:p w14:paraId="5525FE00" w14:textId="77777777" w:rsid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  <w:sz w:val="24"/>
          <w:szCs w:val="24"/>
        </w:rPr>
      </w:pPr>
    </w:p>
    <w:p w14:paraId="49BEBC6C" w14:textId="77777777" w:rsid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  <w:sz w:val="24"/>
          <w:szCs w:val="24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235"/>
      </w:tblGrid>
      <w:tr w:rsidR="00562384" w14:paraId="7CBAB027" w14:textId="77777777" w:rsidTr="00AC07DA">
        <w:tc>
          <w:tcPr>
            <w:tcW w:w="851" w:type="dxa"/>
            <w:tcBorders>
              <w:bottom w:val="single" w:sz="4" w:space="0" w:color="BFBFBF" w:themeColor="background1" w:themeShade="BF"/>
            </w:tcBorders>
          </w:tcPr>
          <w:p w14:paraId="0C55F8F4" w14:textId="77777777" w:rsidR="00562384" w:rsidRDefault="00562384" w:rsidP="00AC07DA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5.</w:t>
            </w:r>
          </w:p>
        </w:tc>
        <w:tc>
          <w:tcPr>
            <w:tcW w:w="8503" w:type="dxa"/>
            <w:gridSpan w:val="2"/>
            <w:tcBorders>
              <w:bottom w:val="single" w:sz="4" w:space="0" w:color="BFBFBF" w:themeColor="background1" w:themeShade="BF"/>
            </w:tcBorders>
          </w:tcPr>
          <w:p w14:paraId="593C634F" w14:textId="77777777" w:rsidR="00562384" w:rsidRDefault="00562384" w:rsidP="00AC07DA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Ограничения для неквалифицированных инвесторов</w:t>
            </w:r>
          </w:p>
        </w:tc>
      </w:tr>
      <w:tr w:rsidR="00562384" w14:paraId="1CE6C5B1" w14:textId="77777777" w:rsidTr="00AC07DA">
        <w:tc>
          <w:tcPr>
            <w:tcW w:w="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104BBEF" w14:textId="77777777" w:rsidR="00562384" w:rsidRDefault="00562384" w:rsidP="00AC07DA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5.1.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AA8BBA" w14:textId="77777777" w:rsidR="00562384" w:rsidRDefault="00562384" w:rsidP="00AC07DA">
            <w:pPr>
              <w:rPr>
                <w:rFonts w:ascii="Arial Narrow" w:hAnsi="Arial Narrow"/>
                <w:color w:val="767171" w:themeColor="background2" w:themeShade="80"/>
              </w:rPr>
            </w:pPr>
            <w:r>
              <w:rPr>
                <w:rFonts w:ascii="Arial Narrow" w:hAnsi="Arial Narrow"/>
                <w:color w:val="767171" w:themeColor="background2" w:themeShade="80"/>
              </w:rPr>
              <w:t>Юридическое лицо</w:t>
            </w:r>
          </w:p>
        </w:tc>
        <w:tc>
          <w:tcPr>
            <w:tcW w:w="6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2BF387D" w14:textId="741500EF" w:rsidR="00562384" w:rsidRDefault="00562384" w:rsidP="00AC07DA">
            <w:pPr>
              <w:rPr>
                <w:rFonts w:ascii="Arial Narrow" w:hAnsi="Arial Narrow"/>
                <w:color w:val="767171" w:themeColor="background2" w:themeShade="80"/>
              </w:rPr>
            </w:pPr>
            <w:r w:rsidRPr="00562384">
              <w:rPr>
                <w:rFonts w:ascii="Arial Narrow" w:hAnsi="Arial Narrow"/>
                <w:color w:val="767171" w:themeColor="background2" w:themeShade="80"/>
              </w:rPr>
              <w:t>Запрещено к покупке неквалифицированным инвесторам</w:t>
            </w:r>
          </w:p>
        </w:tc>
      </w:tr>
      <w:tr w:rsidR="00562384" w14:paraId="3E948D1E" w14:textId="77777777" w:rsidTr="00AC07DA">
        <w:tc>
          <w:tcPr>
            <w:tcW w:w="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C3AC634" w14:textId="77777777" w:rsidR="00562384" w:rsidRDefault="00562384" w:rsidP="00AC07DA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 xml:space="preserve">5.2. 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5D2ADDA" w14:textId="77777777" w:rsidR="00562384" w:rsidRDefault="00562384" w:rsidP="00AC07DA">
            <w:pPr>
              <w:rPr>
                <w:rFonts w:ascii="Arial Narrow" w:hAnsi="Arial Narrow"/>
                <w:color w:val="767171" w:themeColor="background2" w:themeShade="80"/>
              </w:rPr>
            </w:pPr>
            <w:r>
              <w:rPr>
                <w:rFonts w:ascii="Arial Narrow" w:hAnsi="Arial Narrow"/>
                <w:color w:val="767171" w:themeColor="background2" w:themeShade="80"/>
              </w:rPr>
              <w:t>Физическое лицо/ Индивидуальный предприниматель</w:t>
            </w:r>
          </w:p>
        </w:tc>
        <w:tc>
          <w:tcPr>
            <w:tcW w:w="6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E6472CB" w14:textId="4F1CD069" w:rsidR="00562384" w:rsidRDefault="00562384" w:rsidP="00AC07DA">
            <w:pPr>
              <w:rPr>
                <w:rFonts w:ascii="Arial Narrow" w:hAnsi="Arial Narrow"/>
                <w:color w:val="767171" w:themeColor="background2" w:themeShade="80"/>
              </w:rPr>
            </w:pPr>
            <w:r w:rsidRPr="00562384">
              <w:rPr>
                <w:rFonts w:ascii="Arial Narrow" w:hAnsi="Arial Narrow"/>
                <w:color w:val="767171" w:themeColor="background2" w:themeShade="80"/>
              </w:rPr>
              <w:t>Запрещено к покупке неквалифицированным инвесторам</w:t>
            </w:r>
          </w:p>
        </w:tc>
      </w:tr>
    </w:tbl>
    <w:p w14:paraId="1F07E12B" w14:textId="77777777" w:rsid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  <w:sz w:val="24"/>
          <w:szCs w:val="24"/>
        </w:rPr>
      </w:pPr>
    </w:p>
    <w:p w14:paraId="57531447" w14:textId="77777777" w:rsidR="00562384" w:rsidRP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  <w:sz w:val="24"/>
          <w:szCs w:val="24"/>
        </w:rPr>
      </w:pPr>
    </w:p>
    <w:p w14:paraId="2D8E1C78" w14:textId="77777777" w:rsidR="00562384" w:rsidRPr="00562384" w:rsidRDefault="00562384" w:rsidP="00562384">
      <w:pPr>
        <w:spacing w:after="0" w:line="240" w:lineRule="auto"/>
        <w:jc w:val="both"/>
        <w:rPr>
          <w:rFonts w:ascii="Arial Narrow" w:eastAsia="Calibri" w:hAnsi="Arial Narrow" w:cs="Times New Roman"/>
          <w:kern w:val="2"/>
        </w:rPr>
      </w:pPr>
      <w:r w:rsidRPr="00562384">
        <w:rPr>
          <w:rFonts w:ascii="Arial Narrow" w:eastAsia="Calibri" w:hAnsi="Arial Narrow" w:cs="Times New Roman"/>
          <w:kern w:val="2"/>
        </w:rPr>
        <w:t xml:space="preserve">Общие условия решения о выпуске цифровых финансовых активов (версия 2.0) являются неотъемлемой частью данного решения о выпуске. Общие условия решения о выпуске ЦФА размещены на сайте Оператора </w:t>
      </w:r>
      <w:r w:rsidRPr="00562384">
        <w:rPr>
          <w:rFonts w:ascii="Arial Narrow" w:eastAsia="Calibri" w:hAnsi="Arial Narrow" w:cs="Times New Roman"/>
          <w:kern w:val="2"/>
          <w:lang w:val="en-US"/>
        </w:rPr>
        <w:t>https</w:t>
      </w:r>
      <w:r w:rsidRPr="00562384">
        <w:rPr>
          <w:rFonts w:ascii="Arial Narrow" w:eastAsia="Calibri" w:hAnsi="Arial Narrow" w:cs="Times New Roman"/>
          <w:kern w:val="2"/>
        </w:rPr>
        <w:t>://</w:t>
      </w:r>
      <w:proofErr w:type="spellStart"/>
      <w:r w:rsidRPr="00562384">
        <w:rPr>
          <w:rFonts w:ascii="Arial Narrow" w:eastAsia="Calibri" w:hAnsi="Arial Narrow" w:cs="Times New Roman"/>
          <w:kern w:val="2"/>
          <w:lang w:val="en-US"/>
        </w:rPr>
        <w:t>tokeon</w:t>
      </w:r>
      <w:proofErr w:type="spellEnd"/>
      <w:r w:rsidRPr="00562384">
        <w:rPr>
          <w:rFonts w:ascii="Arial Narrow" w:eastAsia="Calibri" w:hAnsi="Arial Narrow" w:cs="Times New Roman"/>
          <w:kern w:val="2"/>
        </w:rPr>
        <w:t>.</w:t>
      </w:r>
      <w:proofErr w:type="spellStart"/>
      <w:r w:rsidRPr="00562384">
        <w:rPr>
          <w:rFonts w:ascii="Arial Narrow" w:eastAsia="Calibri" w:hAnsi="Arial Narrow" w:cs="Times New Roman"/>
          <w:kern w:val="2"/>
          <w:lang w:val="en-US"/>
        </w:rPr>
        <w:t>ru</w:t>
      </w:r>
      <w:proofErr w:type="spellEnd"/>
      <w:r w:rsidRPr="00562384">
        <w:rPr>
          <w:rFonts w:ascii="Arial Narrow" w:eastAsia="Calibri" w:hAnsi="Arial Narrow" w:cs="Times New Roman"/>
          <w:kern w:val="2"/>
        </w:rPr>
        <w:t>.</w:t>
      </w:r>
    </w:p>
    <w:p w14:paraId="159FFE10" w14:textId="77777777" w:rsidR="00562384" w:rsidRDefault="00562384" w:rsidP="00562384">
      <w:pPr>
        <w:rPr>
          <w:rFonts w:ascii="Arial Narrow" w:eastAsia="Calibri" w:hAnsi="Arial Narrow" w:cs="Times New Roman"/>
          <w:kern w:val="2"/>
        </w:rPr>
      </w:pPr>
    </w:p>
    <w:p w14:paraId="3FE6F299" w14:textId="5D54B491" w:rsidR="00562384" w:rsidRPr="00562384" w:rsidRDefault="00562384" w:rsidP="00562384">
      <w:pPr>
        <w:rPr>
          <w:rFonts w:ascii="Arial Narrow" w:eastAsia="Calibri" w:hAnsi="Arial Narrow" w:cs="Times New Roman"/>
          <w:kern w:val="2"/>
        </w:rPr>
      </w:pPr>
      <w:r w:rsidRPr="00562384">
        <w:rPr>
          <w:rFonts w:ascii="Arial Narrow" w:eastAsia="Calibri" w:hAnsi="Arial Narrow" w:cs="Times New Roman"/>
          <w:kern w:val="2"/>
        </w:rPr>
        <w:br w:type="page"/>
      </w:r>
    </w:p>
    <w:p w14:paraId="19F5AA9B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  <w:r w:rsidRPr="00562384">
        <w:rPr>
          <w:rFonts w:ascii="Calibri" w:eastAsia="Calibri" w:hAnsi="Calibri" w:cs="Times New Roman"/>
          <w:noProof/>
          <w:kern w:val="2"/>
          <w:lang w:eastAsia="ru-RU"/>
        </w:rPr>
        <w:drawing>
          <wp:anchor distT="0" distB="0" distL="114300" distR="114300" simplePos="0" relativeHeight="251662336" behindDoc="1" locked="0" layoutInCell="1" allowOverlap="1" wp14:anchorId="686AAC36" wp14:editId="3994047D">
            <wp:simplePos x="0" y="0"/>
            <wp:positionH relativeFrom="page">
              <wp:posOffset>-19050</wp:posOffset>
            </wp:positionH>
            <wp:positionV relativeFrom="paragraph">
              <wp:posOffset>-862330</wp:posOffset>
            </wp:positionV>
            <wp:extent cx="7559675" cy="10850219"/>
            <wp:effectExtent l="0" t="0" r="3175" b="8890"/>
            <wp:wrapNone/>
            <wp:docPr id="1435741901" name="Рисунок 1435741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703" cy="10853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2384">
        <w:rPr>
          <w:rFonts w:ascii="Arial" w:eastAsia="Calibri" w:hAnsi="Arial" w:cs="Arial"/>
          <w:b/>
          <w:noProof/>
          <w:color w:val="FFFFFF"/>
          <w:kern w:val="2"/>
          <w:sz w:val="24"/>
          <w:szCs w:val="24"/>
          <w:lang w:eastAsia="ru-RU"/>
        </w:rPr>
        <w:drawing>
          <wp:inline distT="0" distB="0" distL="0" distR="0" wp14:anchorId="2250643C" wp14:editId="0122050D">
            <wp:extent cx="1192420" cy="251997"/>
            <wp:effectExtent l="0" t="0" r="0" b="0"/>
            <wp:docPr id="127749351" name="Рисунок 127749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Group 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2420" cy="251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EB9AE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6445F29E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6A799042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  <w:lang w:val="en-US"/>
        </w:rPr>
      </w:pPr>
    </w:p>
    <w:p w14:paraId="54A018C1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1CE289B8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39CA1702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18E1864A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1EE98134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7F0E63D4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6618C834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5FC56D66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3402BB38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67D53306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79136BA8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7915FD3F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5BA14568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54F099CC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2D48F9FB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63AAE7FA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2E923AD6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3AE7F57D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6FC19CC4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71A7FBAB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546EC1AF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38094C70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57C633D0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69BE8535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4D092981" w14:textId="77777777" w:rsidR="00562384" w:rsidRPr="00562384" w:rsidRDefault="00562384" w:rsidP="00562384">
      <w:pPr>
        <w:spacing w:after="0" w:line="240" w:lineRule="auto"/>
        <w:ind w:left="-567"/>
        <w:rPr>
          <w:rFonts w:ascii="Arial Black" w:eastAsia="Calibri" w:hAnsi="Arial Black" w:cs="Arial"/>
          <w:b/>
          <w:color w:val="0D0D28"/>
          <w:kern w:val="2"/>
          <w:sz w:val="60"/>
          <w:szCs w:val="60"/>
        </w:rPr>
      </w:pPr>
      <w:r w:rsidRPr="00562384">
        <w:rPr>
          <w:rFonts w:ascii="Arial Black" w:eastAsia="Calibri" w:hAnsi="Arial Black" w:cs="Arial"/>
          <w:b/>
          <w:color w:val="0D0D28"/>
          <w:kern w:val="2"/>
          <w:sz w:val="60"/>
          <w:szCs w:val="60"/>
        </w:rPr>
        <w:t>ОБЩИЕ УСЛОВИЯ</w:t>
      </w:r>
    </w:p>
    <w:p w14:paraId="738A1F3D" w14:textId="77777777" w:rsidR="00562384" w:rsidRPr="00562384" w:rsidRDefault="00562384" w:rsidP="00562384">
      <w:pPr>
        <w:spacing w:after="0" w:line="240" w:lineRule="auto"/>
        <w:ind w:left="-567"/>
        <w:rPr>
          <w:rFonts w:ascii="Arial Black" w:eastAsia="Calibri" w:hAnsi="Arial Black" w:cs="Arial"/>
          <w:b/>
          <w:color w:val="0D0D28"/>
          <w:kern w:val="2"/>
          <w:sz w:val="60"/>
          <w:szCs w:val="60"/>
        </w:rPr>
      </w:pPr>
      <w:r w:rsidRPr="00562384">
        <w:rPr>
          <w:rFonts w:ascii="Arial Black" w:eastAsia="Calibri" w:hAnsi="Arial Black" w:cs="Arial"/>
          <w:b/>
          <w:color w:val="0D0D28"/>
          <w:kern w:val="2"/>
          <w:sz w:val="60"/>
          <w:szCs w:val="60"/>
        </w:rPr>
        <w:t>РЕШЕНИЯ О ВЫПУСКЕ ЦИФРОВЫХ ФИНАНСОВЫХ</w:t>
      </w:r>
    </w:p>
    <w:p w14:paraId="14DD5E26" w14:textId="77777777" w:rsidR="00562384" w:rsidRPr="00562384" w:rsidRDefault="00562384" w:rsidP="00562384">
      <w:pPr>
        <w:spacing w:after="0" w:line="240" w:lineRule="auto"/>
        <w:ind w:left="-567"/>
        <w:rPr>
          <w:rFonts w:ascii="Arial Black" w:eastAsia="Calibri" w:hAnsi="Arial Black" w:cs="Arial"/>
          <w:b/>
          <w:color w:val="0D0D28"/>
          <w:kern w:val="2"/>
          <w:sz w:val="60"/>
          <w:szCs w:val="60"/>
        </w:rPr>
      </w:pPr>
      <w:r w:rsidRPr="00562384">
        <w:rPr>
          <w:rFonts w:ascii="Arial Black" w:eastAsia="Calibri" w:hAnsi="Arial Black" w:cs="Arial"/>
          <w:b/>
          <w:color w:val="0D0D28"/>
          <w:kern w:val="2"/>
          <w:sz w:val="60"/>
          <w:szCs w:val="60"/>
        </w:rPr>
        <w:t>АКТИВОВ</w:t>
      </w:r>
    </w:p>
    <w:p w14:paraId="0B719C5E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20887D58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2F3D5F7A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6084A23C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40"/>
          <w:szCs w:val="40"/>
        </w:rPr>
      </w:pPr>
      <w:r w:rsidRPr="00562384">
        <w:rPr>
          <w:rFonts w:ascii="Arial" w:eastAsia="Calibri" w:hAnsi="Arial" w:cs="Arial"/>
          <w:b/>
          <w:color w:val="0D0D28"/>
          <w:kern w:val="2"/>
          <w:sz w:val="40"/>
          <w:szCs w:val="40"/>
        </w:rPr>
        <w:t>Версия 2.0</w:t>
      </w:r>
    </w:p>
    <w:p w14:paraId="5B50CC9C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45C65D54" w14:textId="77777777" w:rsidR="00562384" w:rsidRPr="00562384" w:rsidRDefault="00562384" w:rsidP="00562384">
      <w:pPr>
        <w:spacing w:after="0" w:line="240" w:lineRule="auto"/>
        <w:ind w:left="-567"/>
        <w:rPr>
          <w:rFonts w:ascii="Arial" w:eastAsia="Calibri" w:hAnsi="Arial" w:cs="Arial"/>
          <w:b/>
          <w:color w:val="0D0D28"/>
          <w:kern w:val="2"/>
          <w:sz w:val="40"/>
          <w:szCs w:val="40"/>
        </w:rPr>
      </w:pPr>
      <w:r w:rsidRPr="00562384">
        <w:rPr>
          <w:rFonts w:ascii="Arial" w:eastAsia="Calibri" w:hAnsi="Arial" w:cs="Arial"/>
          <w:b/>
          <w:color w:val="0D0D28"/>
          <w:kern w:val="2"/>
          <w:sz w:val="24"/>
          <w:szCs w:val="24"/>
        </w:rPr>
        <w:t>Утверждены Приказом № 76661-П от 08.07.2024</w:t>
      </w:r>
      <w:r w:rsidRPr="00562384">
        <w:rPr>
          <w:rFonts w:ascii="Arial" w:eastAsia="Calibri" w:hAnsi="Arial" w:cs="Arial"/>
          <w:b/>
          <w:color w:val="0D0D28"/>
          <w:kern w:val="2"/>
          <w:sz w:val="24"/>
          <w:szCs w:val="24"/>
        </w:rPr>
        <w:br w:type="page"/>
      </w:r>
    </w:p>
    <w:tbl>
      <w:tblPr>
        <w:tblStyle w:val="25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2268"/>
        <w:gridCol w:w="7083"/>
      </w:tblGrid>
      <w:tr w:rsidR="00562384" w:rsidRPr="00562384" w14:paraId="44BCC69C" w14:textId="77777777" w:rsidTr="00562384">
        <w:tc>
          <w:tcPr>
            <w:tcW w:w="714" w:type="dxa"/>
            <w:tcBorders>
              <w:bottom w:val="single" w:sz="4" w:space="0" w:color="BFBFBF"/>
            </w:tcBorders>
          </w:tcPr>
          <w:p w14:paraId="65F7457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1.</w:t>
            </w:r>
          </w:p>
        </w:tc>
        <w:tc>
          <w:tcPr>
            <w:tcW w:w="9351" w:type="dxa"/>
            <w:gridSpan w:val="2"/>
            <w:tcBorders>
              <w:bottom w:val="single" w:sz="4" w:space="0" w:color="BFBFBF"/>
            </w:tcBorders>
          </w:tcPr>
          <w:p w14:paraId="5A31D4C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Сведения об операторе информационной системы, в которой осуществляется выпуск ЦФА</w:t>
            </w:r>
          </w:p>
        </w:tc>
      </w:tr>
      <w:tr w:rsidR="00562384" w:rsidRPr="00562384" w14:paraId="32FA2B28" w14:textId="77777777" w:rsidTr="00562384">
        <w:tc>
          <w:tcPr>
            <w:tcW w:w="714" w:type="dxa"/>
            <w:tcBorders>
              <w:top w:val="single" w:sz="4" w:space="0" w:color="BFBFBF"/>
              <w:bottom w:val="single" w:sz="4" w:space="0" w:color="BFBFBF"/>
            </w:tcBorders>
          </w:tcPr>
          <w:p w14:paraId="191C333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69E608C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Полное наименование</w:t>
            </w:r>
          </w:p>
        </w:tc>
        <w:tc>
          <w:tcPr>
            <w:tcW w:w="7083" w:type="dxa"/>
            <w:tcBorders>
              <w:top w:val="single" w:sz="4" w:space="0" w:color="BFBFBF"/>
              <w:bottom w:val="single" w:sz="4" w:space="0" w:color="BFBFBF"/>
            </w:tcBorders>
          </w:tcPr>
          <w:p w14:paraId="38EB391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Общество с ограниченной ответственностью «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Токены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 xml:space="preserve"> – Цифровые Инвестиции»</w:t>
            </w:r>
          </w:p>
        </w:tc>
      </w:tr>
      <w:tr w:rsidR="00562384" w:rsidRPr="00562384" w14:paraId="44018528" w14:textId="77777777" w:rsidTr="00562384">
        <w:tc>
          <w:tcPr>
            <w:tcW w:w="714" w:type="dxa"/>
            <w:tcBorders>
              <w:top w:val="single" w:sz="4" w:space="0" w:color="BFBFBF"/>
              <w:bottom w:val="single" w:sz="4" w:space="0" w:color="BFBFBF"/>
            </w:tcBorders>
          </w:tcPr>
          <w:p w14:paraId="4256646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075709E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Сокращенное наименование</w:t>
            </w:r>
          </w:p>
        </w:tc>
        <w:tc>
          <w:tcPr>
            <w:tcW w:w="7083" w:type="dxa"/>
            <w:tcBorders>
              <w:top w:val="single" w:sz="4" w:space="0" w:color="BFBFBF"/>
              <w:bottom w:val="single" w:sz="4" w:space="0" w:color="BFBFBF"/>
            </w:tcBorders>
          </w:tcPr>
          <w:p w14:paraId="3123C32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ООО «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Токены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»</w:t>
            </w:r>
          </w:p>
        </w:tc>
      </w:tr>
      <w:tr w:rsidR="00562384" w:rsidRPr="00562384" w14:paraId="31E063A8" w14:textId="77777777" w:rsidTr="00562384">
        <w:tc>
          <w:tcPr>
            <w:tcW w:w="714" w:type="dxa"/>
            <w:tcBorders>
              <w:top w:val="single" w:sz="4" w:space="0" w:color="BFBFBF"/>
              <w:bottom w:val="single" w:sz="4" w:space="0" w:color="BFBFBF"/>
            </w:tcBorders>
          </w:tcPr>
          <w:p w14:paraId="095E23E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</w:rPr>
            </w:pP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7B941C9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Сайт</w:t>
            </w:r>
          </w:p>
        </w:tc>
        <w:tc>
          <w:tcPr>
            <w:tcW w:w="7083" w:type="dxa"/>
            <w:tcBorders>
              <w:top w:val="single" w:sz="4" w:space="0" w:color="BFBFBF"/>
              <w:bottom w:val="single" w:sz="4" w:space="0" w:color="BFBFBF"/>
            </w:tcBorders>
          </w:tcPr>
          <w:p w14:paraId="7C1AF97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lang w:val="en-US"/>
              </w:rPr>
            </w:pPr>
            <w:r w:rsidRPr="00562384">
              <w:rPr>
                <w:rFonts w:ascii="Arial Narrow" w:eastAsia="Calibri" w:hAnsi="Arial Narrow" w:cs="Times New Roman"/>
                <w:lang w:val="en-US"/>
              </w:rPr>
              <w:t>tokeon.ru</w:t>
            </w:r>
          </w:p>
        </w:tc>
      </w:tr>
    </w:tbl>
    <w:p w14:paraId="085BE466" w14:textId="77777777" w:rsidR="00562384" w:rsidRP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</w:rPr>
      </w:pPr>
    </w:p>
    <w:tbl>
      <w:tblPr>
        <w:tblStyle w:val="25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7088"/>
      </w:tblGrid>
      <w:tr w:rsidR="00562384" w:rsidRPr="00562384" w14:paraId="2FC1E404" w14:textId="77777777" w:rsidTr="00AC07DA">
        <w:tc>
          <w:tcPr>
            <w:tcW w:w="709" w:type="dxa"/>
          </w:tcPr>
          <w:p w14:paraId="4855D1A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2</w:t>
            </w:r>
          </w:p>
        </w:tc>
        <w:tc>
          <w:tcPr>
            <w:tcW w:w="9356" w:type="dxa"/>
            <w:gridSpan w:val="2"/>
          </w:tcPr>
          <w:p w14:paraId="1F58E12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Параметры ЦФА</w:t>
            </w:r>
          </w:p>
        </w:tc>
      </w:tr>
      <w:tr w:rsidR="00562384" w:rsidRPr="00562384" w14:paraId="628227D8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3C55414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2DB6E44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Цена приобретения при выпуске</w:t>
            </w:r>
          </w:p>
        </w:tc>
        <w:tc>
          <w:tcPr>
            <w:tcW w:w="7088" w:type="dxa"/>
            <w:tcBorders>
              <w:top w:val="single" w:sz="4" w:space="0" w:color="BFBFBF"/>
              <w:bottom w:val="single" w:sz="4" w:space="0" w:color="BFBFBF"/>
            </w:tcBorders>
          </w:tcPr>
          <w:p w14:paraId="5C5FCE8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Устанавливается для 1 ЦФА, равна номинальной стоимости 1 ЦФА.</w:t>
            </w:r>
          </w:p>
        </w:tc>
      </w:tr>
      <w:tr w:rsidR="00562384" w:rsidRPr="00562384" w14:paraId="518921B6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363F626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2.2.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38AF20E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Порядок округления сумм, подлежащих выплате</w:t>
            </w:r>
          </w:p>
        </w:tc>
        <w:tc>
          <w:tcPr>
            <w:tcW w:w="7088" w:type="dxa"/>
            <w:tcBorders>
              <w:top w:val="single" w:sz="4" w:space="0" w:color="BFBFBF"/>
              <w:bottom w:val="single" w:sz="4" w:space="0" w:color="BFBFBF"/>
            </w:tcBorders>
          </w:tcPr>
          <w:p w14:paraId="318EE23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Сумма в рублях, подлежащая выплате на 1 ЦФА, округляется вниз до второго знака после запятой.</w:t>
            </w:r>
          </w:p>
        </w:tc>
      </w:tr>
      <w:tr w:rsidR="00562384" w:rsidRPr="00562384" w14:paraId="7660248B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14DF12C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2.3.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4CDFC64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Порядок исполнения обязательств, удостоверенных ЦФА</w:t>
            </w:r>
          </w:p>
        </w:tc>
        <w:tc>
          <w:tcPr>
            <w:tcW w:w="7088" w:type="dxa"/>
            <w:tcBorders>
              <w:top w:val="single" w:sz="4" w:space="0" w:color="BFBFBF"/>
              <w:bottom w:val="single" w:sz="4" w:space="0" w:color="BFBFBF"/>
            </w:tcBorders>
          </w:tcPr>
          <w:p w14:paraId="3FC5E91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Исполнение обязательств, удостоверенных ЦФА, осуществляется в российских рублях путем перечисления денежных средств с использованием Номинального счета.</w:t>
            </w:r>
          </w:p>
          <w:p w14:paraId="268C98D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7ACF1B8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Денежные средства перечисляются на счет аналитического учета инвестора в соответствии с графиком, установленным в Специальных условиях решения о выпуске.</w:t>
            </w:r>
          </w:p>
        </w:tc>
      </w:tr>
      <w:tr w:rsidR="00562384" w:rsidRPr="00562384" w14:paraId="43A259F2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6166D75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2.4.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415F0AC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Дробление ЦФА</w:t>
            </w:r>
          </w:p>
        </w:tc>
        <w:tc>
          <w:tcPr>
            <w:tcW w:w="7088" w:type="dxa"/>
            <w:tcBorders>
              <w:top w:val="single" w:sz="4" w:space="0" w:color="BFBFBF"/>
              <w:bottom w:val="single" w:sz="4" w:space="0" w:color="BFBFBF"/>
            </w:tcBorders>
          </w:tcPr>
          <w:p w14:paraId="762D51A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Не предусмотрено.</w:t>
            </w:r>
          </w:p>
        </w:tc>
      </w:tr>
      <w:tr w:rsidR="00562384" w:rsidRPr="00562384" w14:paraId="15DCDB4A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4661708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2.5.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2325EBA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Досрочное погашение ЦФА по требованию Эмитента</w:t>
            </w:r>
          </w:p>
        </w:tc>
        <w:tc>
          <w:tcPr>
            <w:tcW w:w="7088" w:type="dxa"/>
            <w:tcBorders>
              <w:top w:val="single" w:sz="4" w:space="0" w:color="BFBFBF"/>
              <w:bottom w:val="single" w:sz="4" w:space="0" w:color="BFBFBF"/>
            </w:tcBorders>
          </w:tcPr>
          <w:p w14:paraId="00CEBAB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Не предусмотрено.</w:t>
            </w:r>
          </w:p>
        </w:tc>
      </w:tr>
      <w:tr w:rsidR="00562384" w:rsidRPr="00562384" w14:paraId="4F38F0D3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54D5683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2.6.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1A0B21F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Досрочное погашение ЦФА по требованию инвестора</w:t>
            </w:r>
          </w:p>
        </w:tc>
        <w:tc>
          <w:tcPr>
            <w:tcW w:w="7088" w:type="dxa"/>
            <w:tcBorders>
              <w:top w:val="single" w:sz="4" w:space="0" w:color="BFBFBF"/>
              <w:bottom w:val="single" w:sz="4" w:space="0" w:color="BFBFBF"/>
            </w:tcBorders>
          </w:tcPr>
          <w:p w14:paraId="3823C49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Не предусмотрено.</w:t>
            </w:r>
          </w:p>
        </w:tc>
      </w:tr>
      <w:tr w:rsidR="00562384" w:rsidRPr="00562384" w14:paraId="46E1BAFC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567BBC0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2.7.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</w:tcPr>
          <w:p w14:paraId="63E9F9B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Ограничение оснований и (или) размера ответственности Эмитента</w:t>
            </w:r>
          </w:p>
        </w:tc>
        <w:tc>
          <w:tcPr>
            <w:tcW w:w="7088" w:type="dxa"/>
            <w:tcBorders>
              <w:top w:val="single" w:sz="4" w:space="0" w:color="BFBFBF"/>
              <w:bottom w:val="single" w:sz="4" w:space="0" w:color="BFBFBF"/>
            </w:tcBorders>
          </w:tcPr>
          <w:p w14:paraId="221CD34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Не предусмотрено.</w:t>
            </w:r>
          </w:p>
        </w:tc>
      </w:tr>
    </w:tbl>
    <w:p w14:paraId="5CCF22DF" w14:textId="77777777" w:rsidR="00562384" w:rsidRP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</w:rPr>
      </w:pPr>
    </w:p>
    <w:tbl>
      <w:tblPr>
        <w:tblStyle w:val="25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66"/>
        <w:gridCol w:w="7090"/>
      </w:tblGrid>
      <w:tr w:rsidR="00562384" w:rsidRPr="00562384" w14:paraId="0F0F2EAD" w14:textId="77777777" w:rsidTr="00562384">
        <w:tc>
          <w:tcPr>
            <w:tcW w:w="709" w:type="dxa"/>
            <w:tcBorders>
              <w:bottom w:val="single" w:sz="4" w:space="0" w:color="BFBFBF"/>
            </w:tcBorders>
          </w:tcPr>
          <w:p w14:paraId="1179B03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3.</w:t>
            </w:r>
          </w:p>
        </w:tc>
        <w:tc>
          <w:tcPr>
            <w:tcW w:w="9356" w:type="dxa"/>
            <w:gridSpan w:val="2"/>
            <w:tcBorders>
              <w:bottom w:val="single" w:sz="4" w:space="0" w:color="BFBFBF"/>
            </w:tcBorders>
          </w:tcPr>
          <w:p w14:paraId="046AC4D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Параметры выпуска</w:t>
            </w:r>
          </w:p>
        </w:tc>
      </w:tr>
      <w:tr w:rsidR="00562384" w:rsidRPr="00562384" w14:paraId="6CE1A36A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547E54E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3.1.</w:t>
            </w:r>
          </w:p>
        </w:tc>
        <w:tc>
          <w:tcPr>
            <w:tcW w:w="2266" w:type="dxa"/>
            <w:tcBorders>
              <w:top w:val="single" w:sz="4" w:space="0" w:color="BFBFBF"/>
              <w:bottom w:val="single" w:sz="4" w:space="0" w:color="BFBFBF"/>
            </w:tcBorders>
          </w:tcPr>
          <w:p w14:paraId="0D8BE24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Условия, при наступлении которых выпуск признается состоявшимся</w:t>
            </w:r>
          </w:p>
        </w:tc>
        <w:tc>
          <w:tcPr>
            <w:tcW w:w="7090" w:type="dxa"/>
            <w:tcBorders>
              <w:top w:val="single" w:sz="4" w:space="0" w:color="BFBFBF"/>
              <w:bottom w:val="single" w:sz="4" w:space="0" w:color="BFBFBF"/>
            </w:tcBorders>
          </w:tcPr>
          <w:p w14:paraId="4A74BF1E" w14:textId="77777777" w:rsidR="00562384" w:rsidRPr="00562384" w:rsidRDefault="00562384" w:rsidP="00562384">
            <w:pPr>
              <w:numPr>
                <w:ilvl w:val="0"/>
                <w:numId w:val="21"/>
              </w:numPr>
              <w:ind w:left="308" w:hanging="308"/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Достижение минимального количества приобретенных Инвесторами ЦФА в Дату окончания приема Заявок на приобретение ЦФА, либо</w:t>
            </w:r>
          </w:p>
          <w:p w14:paraId="7BD4CF5E" w14:textId="77777777" w:rsidR="00562384" w:rsidRPr="00562384" w:rsidRDefault="00562384" w:rsidP="00562384">
            <w:pPr>
              <w:numPr>
                <w:ilvl w:val="0"/>
                <w:numId w:val="21"/>
              </w:numPr>
              <w:ind w:left="308" w:hanging="308"/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достижение максимального количества приобретенных Инвесторами ЦФА ранее Даты окончания приема Заявок на приобретение ЦФА.</w:t>
            </w:r>
          </w:p>
          <w:p w14:paraId="2E24317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3D89DC9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Минимальное количество ЦФА и максимальное количество ЦФА устанавливаются в Специальных условиях.</w:t>
            </w:r>
          </w:p>
        </w:tc>
      </w:tr>
      <w:tr w:rsidR="00562384" w:rsidRPr="00562384" w14:paraId="0C244AA8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274709A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3.2.</w:t>
            </w:r>
          </w:p>
        </w:tc>
        <w:tc>
          <w:tcPr>
            <w:tcW w:w="2266" w:type="dxa"/>
            <w:tcBorders>
              <w:top w:val="single" w:sz="4" w:space="0" w:color="BFBFBF"/>
              <w:bottom w:val="single" w:sz="4" w:space="0" w:color="BFBFBF"/>
            </w:tcBorders>
          </w:tcPr>
          <w:p w14:paraId="6B4B088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Порядок заключения и исполнения договоров купли-продажи ЦФА</w:t>
            </w:r>
          </w:p>
        </w:tc>
        <w:tc>
          <w:tcPr>
            <w:tcW w:w="7090" w:type="dxa"/>
            <w:tcBorders>
              <w:top w:val="single" w:sz="4" w:space="0" w:color="BFBFBF"/>
              <w:bottom w:val="single" w:sz="4" w:space="0" w:color="BFBFBF"/>
            </w:tcBorders>
          </w:tcPr>
          <w:p w14:paraId="3893760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Договоры купли-продажи ЦФА заключаются в порядке и на условиях, предусмотренных пунктами 10.21 – 10.32 Правил, и исполняются в порядке и на условиях, предусмотренных пунктами 10.38 – 10.41 Правил.</w:t>
            </w:r>
          </w:p>
        </w:tc>
      </w:tr>
      <w:tr w:rsidR="00562384" w:rsidRPr="00562384" w14:paraId="40AEA5F2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6750CD8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3.3.</w:t>
            </w:r>
          </w:p>
        </w:tc>
        <w:tc>
          <w:tcPr>
            <w:tcW w:w="2266" w:type="dxa"/>
            <w:tcBorders>
              <w:top w:val="single" w:sz="4" w:space="0" w:color="BFBFBF"/>
              <w:bottom w:val="single" w:sz="4" w:space="0" w:color="BFBFBF"/>
            </w:tcBorders>
          </w:tcPr>
          <w:p w14:paraId="21E953E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Частичное удовлетворение Заявки на приобретение ЦФА</w:t>
            </w:r>
          </w:p>
        </w:tc>
        <w:tc>
          <w:tcPr>
            <w:tcW w:w="7090" w:type="dxa"/>
            <w:tcBorders>
              <w:top w:val="single" w:sz="4" w:space="0" w:color="BFBFBF"/>
              <w:bottom w:val="single" w:sz="4" w:space="0" w:color="BFBFBF"/>
            </w:tcBorders>
          </w:tcPr>
          <w:p w14:paraId="0F440CE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Заявка удовлетворяется в части доступного количества ЦФА для приобретения.</w:t>
            </w:r>
          </w:p>
        </w:tc>
      </w:tr>
      <w:tr w:rsidR="00562384" w:rsidRPr="00562384" w14:paraId="6C968BC4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0721141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3.4.</w:t>
            </w:r>
          </w:p>
        </w:tc>
        <w:tc>
          <w:tcPr>
            <w:tcW w:w="2266" w:type="dxa"/>
            <w:tcBorders>
              <w:top w:val="single" w:sz="4" w:space="0" w:color="BFBFBF"/>
              <w:bottom w:val="single" w:sz="4" w:space="0" w:color="BFBFBF"/>
            </w:tcBorders>
          </w:tcPr>
          <w:p w14:paraId="1B0BEA9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Подача Заявок после даты окончания приема Заявок</w:t>
            </w:r>
          </w:p>
        </w:tc>
        <w:tc>
          <w:tcPr>
            <w:tcW w:w="7090" w:type="dxa"/>
            <w:tcBorders>
              <w:top w:val="single" w:sz="4" w:space="0" w:color="BFBFBF"/>
              <w:bottom w:val="single" w:sz="4" w:space="0" w:color="BFBFBF"/>
            </w:tcBorders>
          </w:tcPr>
          <w:p w14:paraId="3333FDA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Не допускается.</w:t>
            </w:r>
          </w:p>
        </w:tc>
      </w:tr>
      <w:tr w:rsidR="00562384" w:rsidRPr="00562384" w14:paraId="1A99BB90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667CBC7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3.5.</w:t>
            </w:r>
          </w:p>
        </w:tc>
        <w:tc>
          <w:tcPr>
            <w:tcW w:w="2266" w:type="dxa"/>
            <w:tcBorders>
              <w:top w:val="single" w:sz="4" w:space="0" w:color="BFBFBF"/>
              <w:bottom w:val="single" w:sz="4" w:space="0" w:color="BFBFBF"/>
            </w:tcBorders>
          </w:tcPr>
          <w:p w14:paraId="5A56E83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Способ и порядок оплаты приобретаемых ЦФА</w:t>
            </w:r>
          </w:p>
        </w:tc>
        <w:tc>
          <w:tcPr>
            <w:tcW w:w="7090" w:type="dxa"/>
            <w:tcBorders>
              <w:top w:val="single" w:sz="4" w:space="0" w:color="BFBFBF"/>
              <w:bottom w:val="single" w:sz="4" w:space="0" w:color="BFBFBF"/>
            </w:tcBorders>
          </w:tcPr>
          <w:p w14:paraId="531653C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Перечисление денежных средств Эмитенту в оплату приобретаемых ЦФА осуществляется с использованием номинального счета в порядке, предусмотренном в Правилах.</w:t>
            </w:r>
          </w:p>
        </w:tc>
      </w:tr>
      <w:tr w:rsidR="00562384" w:rsidRPr="00562384" w14:paraId="4A3D063B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16BD3FD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3.6.</w:t>
            </w:r>
          </w:p>
        </w:tc>
        <w:tc>
          <w:tcPr>
            <w:tcW w:w="2266" w:type="dxa"/>
            <w:tcBorders>
              <w:top w:val="single" w:sz="4" w:space="0" w:color="BFBFBF"/>
              <w:bottom w:val="single" w:sz="4" w:space="0" w:color="BFBFBF"/>
            </w:tcBorders>
          </w:tcPr>
          <w:p w14:paraId="75478567" w14:textId="77777777" w:rsidR="00562384" w:rsidRPr="00562384" w:rsidDel="004336A2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Порядок выплат обладателям ЦФА</w:t>
            </w:r>
          </w:p>
        </w:tc>
        <w:tc>
          <w:tcPr>
            <w:tcW w:w="7090" w:type="dxa"/>
            <w:tcBorders>
              <w:top w:val="single" w:sz="4" w:space="0" w:color="BFBFBF"/>
              <w:bottom w:val="single" w:sz="4" w:space="0" w:color="BFBFBF"/>
            </w:tcBorders>
          </w:tcPr>
          <w:p w14:paraId="53D5C03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Денежные средства выплачиваются обладателям ЦФА с использованием номинального счета в порядке, предусмотренном в Правилах.</w:t>
            </w:r>
          </w:p>
        </w:tc>
      </w:tr>
      <w:tr w:rsidR="00562384" w:rsidRPr="00562384" w14:paraId="62086C68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2224DB0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3.7.</w:t>
            </w:r>
          </w:p>
        </w:tc>
        <w:tc>
          <w:tcPr>
            <w:tcW w:w="2266" w:type="dxa"/>
            <w:tcBorders>
              <w:top w:val="single" w:sz="4" w:space="0" w:color="BFBFBF"/>
              <w:bottom w:val="single" w:sz="4" w:space="0" w:color="BFBFBF"/>
            </w:tcBorders>
          </w:tcPr>
          <w:p w14:paraId="7AF2797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Последствия приобретения ЦФА Эмитентом</w:t>
            </w:r>
          </w:p>
        </w:tc>
        <w:tc>
          <w:tcPr>
            <w:tcW w:w="7090" w:type="dxa"/>
            <w:tcBorders>
              <w:top w:val="single" w:sz="4" w:space="0" w:color="BFBFBF"/>
              <w:bottom w:val="single" w:sz="4" w:space="0" w:color="BFBFBF"/>
            </w:tcBorders>
          </w:tcPr>
          <w:p w14:paraId="432AF51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Если Эмитент становится обладателем ЦФА, записи о таких ЦФА не погашаются.</w:t>
            </w:r>
          </w:p>
        </w:tc>
      </w:tr>
      <w:tr w:rsidR="00562384" w:rsidRPr="00562384" w14:paraId="2A62777A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7833CCC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3.8.</w:t>
            </w:r>
          </w:p>
        </w:tc>
        <w:tc>
          <w:tcPr>
            <w:tcW w:w="2266" w:type="dxa"/>
            <w:tcBorders>
              <w:top w:val="single" w:sz="4" w:space="0" w:color="BFBFBF"/>
              <w:bottom w:val="single" w:sz="4" w:space="0" w:color="BFBFBF"/>
            </w:tcBorders>
          </w:tcPr>
          <w:p w14:paraId="76452B2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Возможность выбора Эмитентом иной формы расчета (кроме номинального счета)</w:t>
            </w:r>
          </w:p>
        </w:tc>
        <w:tc>
          <w:tcPr>
            <w:tcW w:w="7090" w:type="dxa"/>
            <w:tcBorders>
              <w:top w:val="single" w:sz="4" w:space="0" w:color="BFBFBF"/>
              <w:bottom w:val="single" w:sz="4" w:space="0" w:color="BFBFBF"/>
            </w:tcBorders>
          </w:tcPr>
          <w:p w14:paraId="5694ED5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Не предусмотрено.</w:t>
            </w:r>
          </w:p>
        </w:tc>
      </w:tr>
      <w:tr w:rsidR="00562384" w:rsidRPr="00562384" w14:paraId="21CAA9A9" w14:textId="77777777" w:rsidTr="00562384">
        <w:tc>
          <w:tcPr>
            <w:tcW w:w="709" w:type="dxa"/>
            <w:tcBorders>
              <w:top w:val="single" w:sz="4" w:space="0" w:color="BFBFBF"/>
              <w:bottom w:val="single" w:sz="4" w:space="0" w:color="BFBFBF"/>
            </w:tcBorders>
          </w:tcPr>
          <w:p w14:paraId="1E8E5EB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3.9.</w:t>
            </w:r>
          </w:p>
        </w:tc>
        <w:tc>
          <w:tcPr>
            <w:tcW w:w="2266" w:type="dxa"/>
            <w:tcBorders>
              <w:top w:val="single" w:sz="4" w:space="0" w:color="BFBFBF"/>
              <w:bottom w:val="single" w:sz="4" w:space="0" w:color="BFBFBF"/>
            </w:tcBorders>
          </w:tcPr>
          <w:p w14:paraId="56D51CD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Сведения о смарт-контракте</w:t>
            </w:r>
          </w:p>
        </w:tc>
        <w:tc>
          <w:tcPr>
            <w:tcW w:w="7090" w:type="dxa"/>
            <w:tcBorders>
              <w:top w:val="single" w:sz="4" w:space="0" w:color="BFBFBF"/>
              <w:bottom w:val="single" w:sz="4" w:space="0" w:color="BFBFBF"/>
            </w:tcBorders>
          </w:tcPr>
          <w:p w14:paraId="48C0A6C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</w:rPr>
              <w:t>Применяются смарт-контракты:</w:t>
            </w:r>
            <w:r w:rsidRPr="00562384">
              <w:rPr>
                <w:rFonts w:ascii="Arial Narrow" w:eastAsia="Calibri" w:hAnsi="Arial Narrow" w:cs="Times New Roman"/>
              </w:rPr>
              <w:t xml:space="preserve"> для выпуска ЦФА используются сделки, предусматривающие исполнение сторонами возникающих из них обязательств при наступлении определенных обстоятельств без направленного на исполнение обязательств отдельно выраженного дополнительного волеизъявления сторон.</w:t>
            </w:r>
          </w:p>
        </w:tc>
      </w:tr>
    </w:tbl>
    <w:p w14:paraId="76DB86EB" w14:textId="77777777" w:rsidR="00562384" w:rsidRP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</w:rPr>
      </w:pPr>
    </w:p>
    <w:tbl>
      <w:tblPr>
        <w:tblStyle w:val="25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2155"/>
        <w:gridCol w:w="7146"/>
      </w:tblGrid>
      <w:tr w:rsidR="00562384" w:rsidRPr="00562384" w14:paraId="18298807" w14:textId="77777777" w:rsidTr="00AC07DA">
        <w:tc>
          <w:tcPr>
            <w:tcW w:w="764" w:type="dxa"/>
          </w:tcPr>
          <w:p w14:paraId="5ED3CCF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4.</w:t>
            </w:r>
          </w:p>
        </w:tc>
        <w:tc>
          <w:tcPr>
            <w:tcW w:w="9301" w:type="dxa"/>
            <w:gridSpan w:val="2"/>
          </w:tcPr>
          <w:p w14:paraId="7E6C349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Обеспечение</w:t>
            </w:r>
          </w:p>
        </w:tc>
      </w:tr>
      <w:tr w:rsidR="00562384" w:rsidRPr="00562384" w14:paraId="413163EF" w14:textId="77777777" w:rsidTr="00562384">
        <w:tc>
          <w:tcPr>
            <w:tcW w:w="764" w:type="dxa"/>
            <w:tcBorders>
              <w:bottom w:val="single" w:sz="4" w:space="0" w:color="BFBFBF"/>
            </w:tcBorders>
          </w:tcPr>
          <w:p w14:paraId="0C54370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  <w:sz w:val="24"/>
                <w:szCs w:val="24"/>
              </w:rPr>
            </w:pPr>
          </w:p>
        </w:tc>
        <w:tc>
          <w:tcPr>
            <w:tcW w:w="9301" w:type="dxa"/>
            <w:gridSpan w:val="2"/>
            <w:tcBorders>
              <w:bottom w:val="single" w:sz="4" w:space="0" w:color="BFBFBF"/>
            </w:tcBorders>
          </w:tcPr>
          <w:p w14:paraId="15CEFFA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Общие положения: договор залога</w:t>
            </w:r>
          </w:p>
        </w:tc>
      </w:tr>
      <w:tr w:rsidR="00562384" w:rsidRPr="00562384" w14:paraId="07A79634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1ED3944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4.1.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35EB3F9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Заключение и изменение договора залога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1CF2F2E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Договор залога считается заключенным, если это указано в Специальных условиях.</w:t>
            </w:r>
          </w:p>
          <w:p w14:paraId="2F5E1FA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48F0197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Договор залога может быть изменен только при условии подписания новой редакции Решения о выпуске, включающей положения договора залога, Эмитентом и Залогодателем и публикации новой редакции Решения о выпуске на сайте Оператора и сайте Эмитента.</w:t>
            </w:r>
          </w:p>
          <w:p w14:paraId="3E0CAF2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</w:tc>
      </w:tr>
      <w:tr w:rsidR="00562384" w:rsidRPr="00562384" w14:paraId="7DEDBB76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4339FD1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4.2.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22B0328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Обеспечиваемое обязательство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5C8F3B9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Залог обеспечивает обязательства Эмитента по Решению о выпуске.</w:t>
            </w:r>
          </w:p>
        </w:tc>
      </w:tr>
      <w:tr w:rsidR="00562384" w:rsidRPr="00562384" w14:paraId="5C760E3D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243D932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4.3.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69423D2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Залогодержатели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2D316ED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Обладатели ЦФА. Для целей статьи 335.1 ГК РФ обладатели ЦФА являются 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созалогодержателями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 xml:space="preserve"> в отношении предмета залога. Требования залогодержателей являются солидарными.</w:t>
            </w:r>
          </w:p>
        </w:tc>
      </w:tr>
      <w:tr w:rsidR="00562384" w:rsidRPr="00562384" w14:paraId="75577C00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380D15B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4.4.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690732B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Момент возникновения залога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5430C45C" w14:textId="77777777" w:rsidR="00562384" w:rsidRPr="00562384" w:rsidRDefault="00562384" w:rsidP="00562384">
            <w:pPr>
              <w:rPr>
                <w:rFonts w:ascii="Calibri" w:eastAsia="Calibri" w:hAnsi="Calibri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Залог возникает в момент возникновения у первого обладателя ЦФА прав на ЦФА.</w:t>
            </w:r>
            <w:r w:rsidRPr="00562384">
              <w:rPr>
                <w:rFonts w:ascii="Calibri" w:eastAsia="Calibri" w:hAnsi="Calibri" w:cs="Times New Roman"/>
              </w:rPr>
              <w:t xml:space="preserve"> </w:t>
            </w:r>
          </w:p>
          <w:p w14:paraId="6DE9D443" w14:textId="77777777" w:rsidR="00562384" w:rsidRPr="00562384" w:rsidRDefault="00562384" w:rsidP="00562384">
            <w:pPr>
              <w:rPr>
                <w:rFonts w:ascii="Calibri" w:eastAsia="Calibri" w:hAnsi="Calibri" w:cs="Times New Roman"/>
              </w:rPr>
            </w:pPr>
          </w:p>
          <w:p w14:paraId="3E80FC2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Если на дату возникновения у первого обладателя прав на ЦФА предмет залога еще не создан, либо не приобретен, залог возникает с момента создания предмета залога, либо возникновения у Залогодателя права собственности на предмет залога. При этом Залогодатель обязуется указать описание предмета залога с учетом характеристик, позволяющих установить подлежащий передаче в залог предмет залога.</w:t>
            </w:r>
          </w:p>
        </w:tc>
      </w:tr>
      <w:tr w:rsidR="00562384" w:rsidRPr="00562384" w14:paraId="40FEA432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383CFF8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4.5.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17242E9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Предмет залога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621B5DE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Описание предмета залога содержится в Специальных условиях.</w:t>
            </w:r>
          </w:p>
          <w:p w14:paraId="4EEEFA2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Предмет залога может быть изменен с согласия обладателей ЦФА.</w:t>
            </w:r>
          </w:p>
        </w:tc>
      </w:tr>
      <w:tr w:rsidR="00562384" w:rsidRPr="00562384" w14:paraId="599AF724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03EDF4B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4.6.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5AD1250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Риск случайной гибели или случайного повреждения предмета залога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248691F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Риск несет залогодатель.</w:t>
            </w:r>
          </w:p>
        </w:tc>
      </w:tr>
      <w:tr w:rsidR="00562384" w:rsidRPr="00562384" w14:paraId="44E33391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2907F95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4.7.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31F47F1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Требования третьих лиц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0BBBF64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Эмитент заверяет Оператора и Инвесторов в том, что Предмет залога свободен от требований третьих лиц, не находится в залоге, под арестом, либо иным обременением.</w:t>
            </w:r>
          </w:p>
        </w:tc>
      </w:tr>
      <w:tr w:rsidR="00562384" w:rsidRPr="00562384" w14:paraId="6DB9CB5F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5B3E299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4.8.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7ACED04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Заключение договора залога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6B1A5EF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Договор залога считается заключенным с момента возникновения у первого Обладателя ЦФА прав на ЦФА, при этом письменная форма договора залога считается соблюденной.</w:t>
            </w:r>
          </w:p>
        </w:tc>
      </w:tr>
      <w:tr w:rsidR="00562384" w:rsidRPr="00562384" w14:paraId="115717AE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0BBBEAC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4.9.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432ACA7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Переход прав по договору залога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5BA5AF2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Обладатель ЦФА пользуется всеми правами залогодержателя по договору залога.</w:t>
            </w:r>
          </w:p>
          <w:p w14:paraId="7E3CBA3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7AC19EE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 переходом прав на ЦФА к новому Обладателю ЦФА переходят все права по договору залога.</w:t>
            </w:r>
          </w:p>
          <w:p w14:paraId="70FA281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47E0ACE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Уступка прав залогодержателя по договору залога без передачи прав на ЦФА является недействительной.</w:t>
            </w:r>
          </w:p>
        </w:tc>
      </w:tr>
      <w:tr w:rsidR="00562384" w:rsidRPr="00562384" w14:paraId="17A1E078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5534334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4.10.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4EA0B03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Объем требований Обладателей ЦФА, обеспечиваемых залогом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0595245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Залогом обеспечивается исполнение всех обязательств Эмитента по ЦФА (в том числе, в случае досрочного погашения ЦФА), включая уплату Эмитента сумму долга в размере:</w:t>
            </w:r>
          </w:p>
          <w:p w14:paraId="45A103B0" w14:textId="77777777" w:rsidR="00562384" w:rsidRPr="00562384" w:rsidRDefault="00562384" w:rsidP="00562384">
            <w:pPr>
              <w:numPr>
                <w:ilvl w:val="0"/>
                <w:numId w:val="19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номинальной стоимости ЦФА;</w:t>
            </w:r>
          </w:p>
          <w:p w14:paraId="4D175319" w14:textId="77777777" w:rsidR="00562384" w:rsidRPr="00562384" w:rsidRDefault="00562384" w:rsidP="00562384">
            <w:pPr>
              <w:numPr>
                <w:ilvl w:val="0"/>
                <w:numId w:val="19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суммы периодических платежей;</w:t>
            </w:r>
          </w:p>
          <w:p w14:paraId="12DBCFF5" w14:textId="77777777" w:rsidR="00562384" w:rsidRPr="00562384" w:rsidRDefault="00562384" w:rsidP="00562384">
            <w:pPr>
              <w:numPr>
                <w:ilvl w:val="0"/>
                <w:numId w:val="19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неустоек;</w:t>
            </w:r>
          </w:p>
          <w:p w14:paraId="15C5B6BC" w14:textId="77777777" w:rsidR="00562384" w:rsidRPr="00562384" w:rsidRDefault="00562384" w:rsidP="00562384">
            <w:pPr>
              <w:numPr>
                <w:ilvl w:val="0"/>
                <w:numId w:val="19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процентов за пользование чужими денежными средствами;</w:t>
            </w:r>
          </w:p>
          <w:p w14:paraId="5CFFFDC5" w14:textId="77777777" w:rsidR="00562384" w:rsidRPr="00562384" w:rsidRDefault="00562384" w:rsidP="00562384">
            <w:pPr>
              <w:numPr>
                <w:ilvl w:val="0"/>
                <w:numId w:val="19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иных сумм.</w:t>
            </w:r>
          </w:p>
          <w:p w14:paraId="63B7669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0DE7FB5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Залогом также обеспечиваются возмещение убытков, в том числе расходов, связанных с применением мер гражданско-правовой ответственности, расходов, связанных с обращением взыскания на Предмет залога и его реализацией, включая судебные расходы и иные убытки, причиненные обладателям ЦФА вследствие неисполнения или ненадлежащего исполнения Эмитентом обязательств по ЦФА («Обеспечиваемые обязательства»).</w:t>
            </w:r>
          </w:p>
        </w:tc>
      </w:tr>
      <w:tr w:rsidR="00562384" w:rsidRPr="00562384" w14:paraId="134018A7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382D275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4.11.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374B4D4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Права Обладателей ЦФА на получение удовлетворения из стоимости заложенного имущества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5EE1B09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Обладатели ЦФА имеют право на получение в случае неисполнения или ненадлежащего исполнения обязательств по ЦФА удовлетворения требований по принадлежащим им ЦФА из стоимости заложенного имущества преимущественно перед Обладателями последующих выпусков цифровых финансовых активов, обеспеченных заложенным имуществом, и другими кредиторами Эмитента.</w:t>
            </w:r>
          </w:p>
        </w:tc>
      </w:tr>
      <w:tr w:rsidR="00562384" w:rsidRPr="00562384" w14:paraId="44ABDED2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1CFE6DF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4.12.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67CCCE5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Соглашение о внесудебном порядке обращения взыскания на Предмет залога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3715530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Решение содержит оферту на заключение соглашения о внесудебном порядке обращения взыскания на Предмет залога.</w:t>
            </w:r>
          </w:p>
          <w:p w14:paraId="481FD2F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07ED453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Акцептом оферты на заключение соглашения о внесудебном порядке обращения взыскания на Предмет залога считается направление Заявки на приобретение ЦФА.</w:t>
            </w:r>
          </w:p>
          <w:p w14:paraId="34862A8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1A19353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В случае неисполнения или ненадлежащего исполнения Эмитентом обязательств по ЦФА обращение взыскания на заложенное имущество может осуществляться по усмотрению Обладателя ЦФА во внесудебном порядке на условиях, предусмотренных ГК РФ и Решением.</w:t>
            </w:r>
          </w:p>
          <w:p w14:paraId="541B21B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2FEA810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Основания для обращения взыскания на заложенное имущество:</w:t>
            </w:r>
          </w:p>
          <w:p w14:paraId="52644E1E" w14:textId="77777777" w:rsidR="00562384" w:rsidRPr="00562384" w:rsidRDefault="00562384" w:rsidP="00562384">
            <w:pPr>
              <w:numPr>
                <w:ilvl w:val="0"/>
                <w:numId w:val="20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Эмитент не перечислил периодический платеж в порядке и в сроки, установленные Решением;</w:t>
            </w:r>
          </w:p>
          <w:p w14:paraId="6D15C2AA" w14:textId="77777777" w:rsidR="00562384" w:rsidRPr="00562384" w:rsidRDefault="00562384" w:rsidP="00562384">
            <w:pPr>
              <w:numPr>
                <w:ilvl w:val="0"/>
                <w:numId w:val="20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Эмитент не погасил ЦФА в срок, установленный Решением.</w:t>
            </w:r>
          </w:p>
          <w:p w14:paraId="76D9F7E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23094F3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Способ реализации Предмета залога:</w:t>
            </w:r>
          </w:p>
          <w:p w14:paraId="372FA34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3998AA0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При наступлении оснований для обращения взыскания на Предмет залога Обладатель ЦФА имеет право направить Эмитенту уведомление о начале обращения взыскания на предмет залога, о чем обязательно уведомляется Оператор в срок не более 1 дня с даты направления уведомления. </w:t>
            </w:r>
          </w:p>
          <w:p w14:paraId="30BF74F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3BF7A1F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Уведомление направляется Обладателем ЦФА Эмитенту на адрес Эмитента, указанный в Решении.</w:t>
            </w:r>
          </w:p>
          <w:p w14:paraId="260E5AD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0FBF2A6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В течение 15 дней с даты получения уведомления о начале обращения взыскания на Предмет залога Эмитент продает Предмет залога по цене не ниже рыночной стоимости. </w:t>
            </w:r>
          </w:p>
          <w:p w14:paraId="33CB159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110785E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В течение 7 календарных дней с даты реализации Предмета залога Эмитент перечисляет каждому из Обладателей ЦФА из вырученных денег сумму обеспеченного залогом обязательства.</w:t>
            </w:r>
          </w:p>
          <w:p w14:paraId="68A92FD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3D9DDA3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Эмитент обязан предоставить Оператору и Обладателям ЦФА заключенный договор купли-продажи в течение 2 рабочих дней с даты его заключения.</w:t>
            </w:r>
          </w:p>
          <w:p w14:paraId="6BC890B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0865CE6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Иные условия соглашения о внесудебном порядке обращения взыскания на предмет залога могут быть установлены Специальными условиями.</w:t>
            </w:r>
          </w:p>
        </w:tc>
      </w:tr>
      <w:tr w:rsidR="00562384" w:rsidRPr="00562384" w14:paraId="6659E03E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108FE7D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4.13.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7BBF17B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Порядок уведомления об установлении последующих залогов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6CFDF98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Приобретая ЦФА, Обладатели ЦФА тем самым соглашаются, что для целей соблюдения п. 4 ст. 342 ГК РФ в части необходимости уведомления Эмитентом предшествующих залогодержателей о заключении Эмитентом нового договора залога достаточным будет являться раскрытие Эмитентом и Оператором информационной системы на своих сайтах решений о выпуске иных цифровых финансовых активов, которые будут обеспечены Залоговым обеспечением.</w:t>
            </w:r>
          </w:p>
        </w:tc>
      </w:tr>
      <w:tr w:rsidR="00562384" w:rsidRPr="00562384" w14:paraId="5FD47300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20FC99A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4.14.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159F10B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Регистрация уведомления о залоге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12519BD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Залогодержатель обязан внести сведения об обременении залогом движимого имущества в Единый федеральный реестр сведений о фактах деятельности юридических лиц.</w:t>
            </w:r>
          </w:p>
        </w:tc>
      </w:tr>
      <w:tr w:rsidR="00562384" w:rsidRPr="00562384" w14:paraId="546951F0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744CB66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4.15.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3DFF048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Прекращение договора залога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7B5DB15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Залог прекращается с момента </w:t>
            </w:r>
            <w:proofErr w:type="gramStart"/>
            <w:r w:rsidRPr="00562384">
              <w:rPr>
                <w:rFonts w:ascii="Arial Narrow" w:eastAsia="Calibri" w:hAnsi="Arial Narrow" w:cs="Times New Roman"/>
              </w:rPr>
              <w:t>полного исполнения</w:t>
            </w:r>
            <w:proofErr w:type="gramEnd"/>
            <w:r w:rsidRPr="00562384">
              <w:rPr>
                <w:rFonts w:ascii="Arial Narrow" w:eastAsia="Calibri" w:hAnsi="Arial Narrow" w:cs="Times New Roman"/>
              </w:rPr>
              <w:t xml:space="preserve"> обеспеченного залогом обязательства.</w:t>
            </w:r>
          </w:p>
        </w:tc>
      </w:tr>
      <w:tr w:rsidR="00562384" w:rsidRPr="00562384" w14:paraId="5EB76E4F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67793D6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4.16.</w:t>
            </w:r>
          </w:p>
        </w:tc>
        <w:tc>
          <w:tcPr>
            <w:tcW w:w="2155" w:type="dxa"/>
            <w:tcBorders>
              <w:top w:val="single" w:sz="4" w:space="0" w:color="BFBFBF"/>
              <w:bottom w:val="single" w:sz="4" w:space="0" w:color="BFBFBF"/>
            </w:tcBorders>
          </w:tcPr>
          <w:p w14:paraId="3136654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Разрешение споров</w:t>
            </w:r>
          </w:p>
        </w:tc>
        <w:tc>
          <w:tcPr>
            <w:tcW w:w="7146" w:type="dxa"/>
            <w:tcBorders>
              <w:top w:val="single" w:sz="4" w:space="0" w:color="BFBFBF"/>
              <w:bottom w:val="single" w:sz="4" w:space="0" w:color="BFBFBF"/>
            </w:tcBorders>
          </w:tcPr>
          <w:p w14:paraId="0ED71C3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Споры, возникающие при исполнении условий договора залога, стороны будут стремиться разрешать путем переговоров.</w:t>
            </w:r>
          </w:p>
          <w:p w14:paraId="6D63681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199E087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Все споры, которые стороны не могут урегулировать путем переговоров, подлежат рассмотрению в суде по месту нахождения залогодателя.</w:t>
            </w:r>
          </w:p>
        </w:tc>
      </w:tr>
    </w:tbl>
    <w:p w14:paraId="3E0FA591" w14:textId="77777777" w:rsidR="00562384" w:rsidRPr="00562384" w:rsidRDefault="00562384" w:rsidP="00562384">
      <w:pPr>
        <w:rPr>
          <w:rFonts w:ascii="Calibri" w:eastAsia="Calibri" w:hAnsi="Calibri" w:cs="Times New Roman"/>
          <w:kern w:val="2"/>
        </w:rPr>
      </w:pPr>
      <w:bookmarkStart w:id="9" w:name="_Hlk157164827"/>
    </w:p>
    <w:tbl>
      <w:tblPr>
        <w:tblStyle w:val="25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2238"/>
        <w:gridCol w:w="7063"/>
      </w:tblGrid>
      <w:tr w:rsidR="00562384" w:rsidRPr="00562384" w14:paraId="4731DBA4" w14:textId="77777777" w:rsidTr="00AC07DA">
        <w:tc>
          <w:tcPr>
            <w:tcW w:w="764" w:type="dxa"/>
          </w:tcPr>
          <w:p w14:paraId="794F6F7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5.</w:t>
            </w:r>
          </w:p>
        </w:tc>
        <w:tc>
          <w:tcPr>
            <w:tcW w:w="2238" w:type="dxa"/>
          </w:tcPr>
          <w:p w14:paraId="7774D0A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Обеспечение</w:t>
            </w:r>
          </w:p>
        </w:tc>
        <w:tc>
          <w:tcPr>
            <w:tcW w:w="7063" w:type="dxa"/>
          </w:tcPr>
          <w:p w14:paraId="577539A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</w:tc>
      </w:tr>
      <w:tr w:rsidR="00562384" w:rsidRPr="00562384" w14:paraId="581DF4ED" w14:textId="77777777" w:rsidTr="00562384">
        <w:tc>
          <w:tcPr>
            <w:tcW w:w="764" w:type="dxa"/>
            <w:tcBorders>
              <w:bottom w:val="single" w:sz="4" w:space="0" w:color="BFBFBF"/>
            </w:tcBorders>
          </w:tcPr>
          <w:p w14:paraId="5EC3F4D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</w:p>
        </w:tc>
        <w:tc>
          <w:tcPr>
            <w:tcW w:w="9301" w:type="dxa"/>
            <w:gridSpan w:val="2"/>
            <w:tcBorders>
              <w:bottom w:val="single" w:sz="4" w:space="0" w:color="BFBFBF"/>
            </w:tcBorders>
          </w:tcPr>
          <w:p w14:paraId="1E95139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Общие положения: договор поручительства</w:t>
            </w:r>
          </w:p>
        </w:tc>
      </w:tr>
      <w:tr w:rsidR="00562384" w:rsidRPr="00562384" w14:paraId="7DD32223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104A1D3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5.1.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064F76C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Заключение договора поручительства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318CD28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Договор поручительства считается заключенным, если это указано в Специальных условиях.</w:t>
            </w:r>
          </w:p>
          <w:p w14:paraId="0274CF1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5639ADF3" w14:textId="77777777" w:rsidR="00562384" w:rsidRPr="00562384" w:rsidDel="007366BB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Договор поручительства может быть изменен только при условии подписания новой редакции Решения о выпуске, включающей положения договора поручительства, Эмитентом и Поручителем, и публикации новой редакции Решения о выпуске на сайте Оператора и сайте Эмитента.</w:t>
            </w:r>
          </w:p>
        </w:tc>
      </w:tr>
      <w:tr w:rsidR="00562384" w:rsidRPr="00562384" w14:paraId="7DC2B229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27D187E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5.2.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2C57BE6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Обеспечиваемое обязательство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3D303735" w14:textId="77777777" w:rsidR="00562384" w:rsidRPr="00562384" w:rsidDel="007366BB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Поручительство обеспечивает обязательства Эмитента по Решению о выпуске.</w:t>
            </w:r>
          </w:p>
        </w:tc>
      </w:tr>
      <w:bookmarkEnd w:id="9"/>
      <w:tr w:rsidR="00562384" w:rsidRPr="00562384" w14:paraId="55EBE823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3139BAC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5.3.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0EBFC6C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6E3A842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 указан в Специальных условиях.</w:t>
            </w:r>
          </w:p>
        </w:tc>
      </w:tr>
      <w:tr w:rsidR="00562384" w:rsidRPr="00562384" w14:paraId="55CB237F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5635742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5.4.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5BB7175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Должник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1A0891B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Должником по договору поручительства признается Эмитент.</w:t>
            </w:r>
          </w:p>
        </w:tc>
      </w:tr>
      <w:tr w:rsidR="00562384" w:rsidRPr="00562384" w14:paraId="3C27E4E8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6D1DAF4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5.5.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26DB19F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Кредитор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3E7F7E9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Кредитором по договору поручительства признается Обладатель ЦФА.</w:t>
            </w:r>
          </w:p>
        </w:tc>
      </w:tr>
      <w:tr w:rsidR="00562384" w:rsidRPr="00562384" w14:paraId="56D22AFF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61857CC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5.6.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59100E9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Солидарные требования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580BC6B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Для целей ст. 363 ГК РФ Стороны признают, что Поручитель и Должник отвечают перед кредитором солидарно.</w:t>
            </w:r>
          </w:p>
        </w:tc>
      </w:tr>
      <w:tr w:rsidR="00562384" w:rsidRPr="00562384" w14:paraId="314C0608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57C8696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5.7.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3E807C6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Заключение договора поручительства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6231F334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Договор поручительства считается заключенным с момента возникновения у Первого приобретателя прав на ЦФА. Подача Заявки на приобретение ЦФА является согласием на заключение Первым обладателем договора поручительства, при этом письменная форма договора поручительства считается соблюденной.</w:t>
            </w:r>
          </w:p>
        </w:tc>
      </w:tr>
      <w:tr w:rsidR="00562384" w:rsidRPr="00562384" w14:paraId="7E11E010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4C90293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5.8.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5189E15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Переход прав по договору поручительства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3195E56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Обладатель ЦФА пользуется всеми правами кредитора по договору поручительства. С переходом прав на ЦФА к новому Обладателю ЦФА переходят все права по договору поручительства. </w:t>
            </w:r>
          </w:p>
          <w:p w14:paraId="5E8F49E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3A12414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Уступка прав кредитора по договору поручительства без передачи прав на ЦФА является недействительной.</w:t>
            </w:r>
          </w:p>
          <w:p w14:paraId="695F73B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0DE750C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 соглашается отвечать перед всеми будущими Обладателями ЦФА в случае перехода к ним прав на ЦФА в результате заключенных на платформе сделок между Пользователями.</w:t>
            </w:r>
          </w:p>
        </w:tc>
      </w:tr>
      <w:tr w:rsidR="00562384" w:rsidRPr="00562384" w14:paraId="05EC09ED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0ECDD1D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5.9.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08F884C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Объем требований Обладателей ЦФА, обеспечиваемых поручительством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410A349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Поручительством обеспечивается исполнение всех обязательств Эмитента по ЦФА (в том числе, будущих обязательств и обязательств, возникших в случае досрочного погашения ЦФА), включая обязательств Эмитента по уплате суммы долга в размере:</w:t>
            </w:r>
          </w:p>
          <w:p w14:paraId="3F91239B" w14:textId="77777777" w:rsidR="00562384" w:rsidRPr="00562384" w:rsidRDefault="00562384" w:rsidP="00562384">
            <w:pPr>
              <w:numPr>
                <w:ilvl w:val="0"/>
                <w:numId w:val="22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номинальной стоимости ЦФА;</w:t>
            </w:r>
          </w:p>
          <w:p w14:paraId="3E0FD078" w14:textId="77777777" w:rsidR="00562384" w:rsidRPr="00562384" w:rsidRDefault="00562384" w:rsidP="00562384">
            <w:pPr>
              <w:numPr>
                <w:ilvl w:val="0"/>
                <w:numId w:val="22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суммы периодических платежей;</w:t>
            </w:r>
          </w:p>
          <w:p w14:paraId="7FBD594A" w14:textId="77777777" w:rsidR="00562384" w:rsidRPr="00562384" w:rsidRDefault="00562384" w:rsidP="00562384">
            <w:pPr>
              <w:numPr>
                <w:ilvl w:val="0"/>
                <w:numId w:val="22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неустоек;</w:t>
            </w:r>
          </w:p>
          <w:p w14:paraId="1E1779F3" w14:textId="77777777" w:rsidR="00562384" w:rsidRPr="00562384" w:rsidRDefault="00562384" w:rsidP="00562384">
            <w:pPr>
              <w:numPr>
                <w:ilvl w:val="0"/>
                <w:numId w:val="22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процентов за пользование чужими денежными средствами;</w:t>
            </w:r>
          </w:p>
          <w:p w14:paraId="05AE21BE" w14:textId="77777777" w:rsidR="00562384" w:rsidRPr="00562384" w:rsidRDefault="00562384" w:rsidP="00562384">
            <w:pPr>
              <w:numPr>
                <w:ilvl w:val="0"/>
                <w:numId w:val="22"/>
              </w:numPr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иных сумм.</w:t>
            </w:r>
          </w:p>
          <w:p w14:paraId="04512DE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395B7D8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Поручительством также обеспечиваются возмещение убытков, в том числе расходов, связанных с применением мер гражданско-правовой ответственности, включая судебные расходы и иные убытки, причиненные Обладателям ЦФА вследствие неисполнения или ненадлежащего исполнения Эмитентом обязательств по ЦФА («Обеспечиваемые обязательства»).</w:t>
            </w:r>
          </w:p>
        </w:tc>
      </w:tr>
      <w:tr w:rsidR="00562384" w:rsidRPr="00562384" w14:paraId="18CC41B4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4B45871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5.10.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455B52F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Исполнение требований кредиторов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5B8ACBF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Обладатель ЦФА имеет право предъявить требование к Поручителю по истечении 10 календарных дней с даты неисполнения Эмитентом своих обязательств по погашению ЦФА. Размер требований Обладателя ЦФА определяется документами, выданными Оператором, подтверждающими приобретение ЦФА. Все документы, предоставляемые Поручителю, должны быть подписаны уполномоченным лицом и скреплены печатью (при наличии печати).</w:t>
            </w:r>
          </w:p>
          <w:p w14:paraId="76C05EDB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4D03EF5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Эмитент считается не исполнившим обязательство, если по вине Эмитента обязательства по ЦФА не были исполнены в дату, предусмотренную Решением о выпуске.</w:t>
            </w:r>
          </w:p>
          <w:p w14:paraId="2B02D41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268E9819" w14:textId="77777777" w:rsidR="00562384" w:rsidRPr="00562384" w:rsidRDefault="00562384" w:rsidP="0056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 обязан в срок, не превышающий 3 рабочих дней с даты получения требования Обладателя ЦФА и необходимых документов, рассмотреть их и уведомить Обладателя ЦФА о принятом решении. При отсутствии обоснованных возражений Поручитель в срок не позднее 3 рабочих дней с даты предъявления требования Обладателя ЦФА перечисляет денежные средства на указанный в требовании Обладателя ЦФА банковский счет.</w:t>
            </w:r>
          </w:p>
          <w:p w14:paraId="476DBD97" w14:textId="77777777" w:rsidR="00562384" w:rsidRPr="00562384" w:rsidRDefault="00562384" w:rsidP="0056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</w:rPr>
            </w:pPr>
          </w:p>
          <w:p w14:paraId="580F20C5" w14:textId="77777777" w:rsidR="00562384" w:rsidRPr="00562384" w:rsidRDefault="00562384" w:rsidP="0056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Обязательства Поручителя считаются исполненными надлежащим образом с момента зачисления денежных средств на счет Обладателя ЦФА.</w:t>
            </w:r>
          </w:p>
          <w:p w14:paraId="57691A61" w14:textId="77777777" w:rsidR="00562384" w:rsidRPr="00562384" w:rsidRDefault="00562384" w:rsidP="0056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</w:rPr>
            </w:pPr>
          </w:p>
          <w:p w14:paraId="7625DBE5" w14:textId="77777777" w:rsidR="00562384" w:rsidRPr="00562384" w:rsidRDefault="00562384" w:rsidP="0056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 xml:space="preserve">К Поручителю, исполнившему обязательство, переходят права Обладателя ЦФА по этому обязательству в том объеме, в котором Поручитель удовлетворил требование Обладателя ЦФА. </w:t>
            </w:r>
          </w:p>
          <w:p w14:paraId="2571C62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</w:tc>
      </w:tr>
      <w:tr w:rsidR="00562384" w:rsidRPr="00562384" w14:paraId="5D0D1C7E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6F016750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5.11.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23E5487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Ограничение ответственности Поручителя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2E1B014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Ответственность Поручителя может быть ограничена Специальными условиями.</w:t>
            </w:r>
          </w:p>
        </w:tc>
      </w:tr>
      <w:tr w:rsidR="00562384" w:rsidRPr="00562384" w14:paraId="4F613B9C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5B0AF8D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5.12.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4EF965F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Обязанности Эмитента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50C972F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Эмитент обязан:</w:t>
            </w:r>
          </w:p>
          <w:p w14:paraId="5B4D784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460D0FBE" w14:textId="77777777" w:rsidR="00562384" w:rsidRPr="00562384" w:rsidRDefault="00562384" w:rsidP="00562384">
            <w:pPr>
              <w:numPr>
                <w:ilvl w:val="0"/>
                <w:numId w:val="9"/>
              </w:numPr>
              <w:ind w:left="435" w:hanging="425"/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Не позднее 3 рабочих дней, следующих за днем нарушения условий погашения ЦФА, в письменной форме известить Поручителя обо всех допущенных им нарушения, а также обо всех других обстоятельствах, влияющих на исполнение Эмитентом своих обязательств.</w:t>
            </w:r>
          </w:p>
          <w:p w14:paraId="7E21C9D5" w14:textId="77777777" w:rsidR="00562384" w:rsidRPr="00562384" w:rsidRDefault="00562384" w:rsidP="00562384">
            <w:pPr>
              <w:numPr>
                <w:ilvl w:val="0"/>
                <w:numId w:val="9"/>
              </w:numPr>
              <w:ind w:left="435" w:hanging="425"/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В срок не позднее 5 рабочих дней со дня получения письменного запроса Поручителя предоставить Поручителю документы и (или) информацию об исполнении обязательств, в том числе о допущенных нарушениях.</w:t>
            </w:r>
          </w:p>
          <w:p w14:paraId="7148DA1A" w14:textId="77777777" w:rsidR="00562384" w:rsidRPr="00562384" w:rsidRDefault="00562384" w:rsidP="00562384">
            <w:pPr>
              <w:numPr>
                <w:ilvl w:val="0"/>
                <w:numId w:val="10"/>
              </w:numPr>
              <w:ind w:left="435" w:hanging="425"/>
              <w:contextualSpacing/>
              <w:rPr>
                <w:rFonts w:ascii="Arial Narrow" w:eastAsia="Calibri" w:hAnsi="Arial Narrow" w:cs="Times New Roman"/>
                <w14:ligatures w14:val="none"/>
              </w:rPr>
            </w:pPr>
            <w:r w:rsidRPr="00562384">
              <w:rPr>
                <w:rFonts w:ascii="Arial Narrow" w:eastAsia="Calibri" w:hAnsi="Arial Narrow" w:cs="Times New Roman"/>
                <w14:ligatures w14:val="none"/>
              </w:rPr>
              <w:t>При изменении адреса в течение 3 рабочих дней поставить об этом в известность Поручителя путем направления информации Поручителю в письменной форме.</w:t>
            </w:r>
          </w:p>
          <w:p w14:paraId="12E3FCA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В случае исполнения обязательств, обеспеченных поручительством, известить об этом Поручителя немедленно.</w:t>
            </w:r>
          </w:p>
        </w:tc>
      </w:tr>
      <w:tr w:rsidR="00562384" w:rsidRPr="00562384" w14:paraId="4B8A82BC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6038A37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5.13.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77E302B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Согласие поручителя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5AECDA96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 дает согласие в случае изменения обязательства отвечать перед кредиторами на измененных условиях.</w:t>
            </w:r>
          </w:p>
        </w:tc>
      </w:tr>
      <w:tr w:rsidR="00562384" w:rsidRPr="00562384" w14:paraId="00510113" w14:textId="77777777" w:rsidTr="00562384">
        <w:tc>
          <w:tcPr>
            <w:tcW w:w="764" w:type="dxa"/>
            <w:tcBorders>
              <w:top w:val="single" w:sz="4" w:space="0" w:color="BFBFBF"/>
              <w:bottom w:val="single" w:sz="4" w:space="0" w:color="BFBFBF"/>
            </w:tcBorders>
          </w:tcPr>
          <w:p w14:paraId="1BC642C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5.14.</w:t>
            </w:r>
          </w:p>
        </w:tc>
        <w:tc>
          <w:tcPr>
            <w:tcW w:w="2238" w:type="dxa"/>
            <w:tcBorders>
              <w:top w:val="single" w:sz="4" w:space="0" w:color="BFBFBF"/>
              <w:bottom w:val="single" w:sz="4" w:space="0" w:color="BFBFBF"/>
            </w:tcBorders>
          </w:tcPr>
          <w:p w14:paraId="1FFBEBD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Прекращение договора поручительства</w:t>
            </w:r>
          </w:p>
        </w:tc>
        <w:tc>
          <w:tcPr>
            <w:tcW w:w="7063" w:type="dxa"/>
            <w:tcBorders>
              <w:top w:val="single" w:sz="4" w:space="0" w:color="BFBFBF"/>
              <w:bottom w:val="single" w:sz="4" w:space="0" w:color="BFBFBF"/>
            </w:tcBorders>
          </w:tcPr>
          <w:p w14:paraId="1E94398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Договор вступает в силу со дня опубликования Специальных условий Решения о выпуске ЦФА и прекращается с прекращением обеспеченного им обязательства.</w:t>
            </w:r>
          </w:p>
          <w:p w14:paraId="376FCB6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56DA3230" w14:textId="77777777" w:rsidR="00562384" w:rsidRPr="00562384" w:rsidRDefault="00562384" w:rsidP="00562384">
            <w:pPr>
              <w:jc w:val="both"/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Поручительство прекращается с прекращением обеспеченного поручительством обязательства.</w:t>
            </w:r>
          </w:p>
          <w:p w14:paraId="0BC42F2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Поручительство в отношении обязательств по каждому ЦФА прекращается, если Обладатель такого ЦФА отказался принять надлежащее исполнение, предложенное Эмитентом или Поручителем.</w:t>
            </w:r>
          </w:p>
        </w:tc>
      </w:tr>
    </w:tbl>
    <w:p w14:paraId="3EA2E196" w14:textId="77777777" w:rsidR="00562384" w:rsidRPr="00562384" w:rsidRDefault="00562384" w:rsidP="00562384">
      <w:pPr>
        <w:rPr>
          <w:rFonts w:ascii="Calibri" w:eastAsia="Calibri" w:hAnsi="Calibri" w:cs="Times New Roman"/>
          <w:kern w:val="2"/>
        </w:rPr>
      </w:pPr>
    </w:p>
    <w:tbl>
      <w:tblPr>
        <w:tblStyle w:val="25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2235"/>
        <w:gridCol w:w="7065"/>
      </w:tblGrid>
      <w:tr w:rsidR="00562384" w:rsidRPr="00562384" w14:paraId="4752CA86" w14:textId="77777777" w:rsidTr="00AC07DA">
        <w:tc>
          <w:tcPr>
            <w:tcW w:w="765" w:type="dxa"/>
          </w:tcPr>
          <w:p w14:paraId="09B50D5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bookmarkStart w:id="10" w:name="_Hlk157165287"/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6.</w:t>
            </w:r>
          </w:p>
        </w:tc>
        <w:tc>
          <w:tcPr>
            <w:tcW w:w="2235" w:type="dxa"/>
          </w:tcPr>
          <w:p w14:paraId="01CE70CC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Обеспечение</w:t>
            </w:r>
          </w:p>
        </w:tc>
        <w:tc>
          <w:tcPr>
            <w:tcW w:w="7065" w:type="dxa"/>
          </w:tcPr>
          <w:p w14:paraId="67C9E49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</w:tc>
      </w:tr>
      <w:tr w:rsidR="00562384" w:rsidRPr="00562384" w14:paraId="09972BD5" w14:textId="77777777" w:rsidTr="00562384">
        <w:tc>
          <w:tcPr>
            <w:tcW w:w="765" w:type="dxa"/>
            <w:tcBorders>
              <w:bottom w:val="single" w:sz="4" w:space="0" w:color="BFBFBF"/>
            </w:tcBorders>
          </w:tcPr>
          <w:p w14:paraId="4E304F78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</w:p>
        </w:tc>
        <w:tc>
          <w:tcPr>
            <w:tcW w:w="9300" w:type="dxa"/>
            <w:gridSpan w:val="2"/>
            <w:tcBorders>
              <w:bottom w:val="single" w:sz="4" w:space="0" w:color="BFBFBF"/>
            </w:tcBorders>
          </w:tcPr>
          <w:p w14:paraId="2E6591C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Общие положения: неустойка</w:t>
            </w:r>
          </w:p>
        </w:tc>
      </w:tr>
      <w:bookmarkEnd w:id="10"/>
      <w:tr w:rsidR="00562384" w:rsidRPr="00562384" w14:paraId="22860EE7" w14:textId="77777777" w:rsidTr="00562384">
        <w:tc>
          <w:tcPr>
            <w:tcW w:w="765" w:type="dxa"/>
            <w:tcBorders>
              <w:top w:val="single" w:sz="4" w:space="0" w:color="BFBFBF"/>
              <w:bottom w:val="single" w:sz="4" w:space="0" w:color="BFBFBF"/>
            </w:tcBorders>
          </w:tcPr>
          <w:p w14:paraId="0779535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6.1.</w:t>
            </w:r>
          </w:p>
        </w:tc>
        <w:tc>
          <w:tcPr>
            <w:tcW w:w="2235" w:type="dxa"/>
            <w:tcBorders>
              <w:top w:val="single" w:sz="4" w:space="0" w:color="BFBFBF"/>
              <w:bottom w:val="single" w:sz="4" w:space="0" w:color="BFBFBF"/>
            </w:tcBorders>
          </w:tcPr>
          <w:p w14:paraId="547FC71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Обеспечение обязательства неустойкой</w:t>
            </w:r>
          </w:p>
        </w:tc>
        <w:tc>
          <w:tcPr>
            <w:tcW w:w="7065" w:type="dxa"/>
            <w:tcBorders>
              <w:top w:val="single" w:sz="4" w:space="0" w:color="BFBFBF"/>
              <w:bottom w:val="single" w:sz="4" w:space="0" w:color="BFBFBF"/>
            </w:tcBorders>
          </w:tcPr>
          <w:p w14:paraId="4506837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Обязательства считаются обеспеченными неустойкой в соответствии с Общими условиями, если это прямо предусмотрено в Специальных условиях.</w:t>
            </w:r>
          </w:p>
          <w:p w14:paraId="25ED731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</w:p>
          <w:p w14:paraId="21645E6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При нарушении обязательств Эмитентом, Эмитент выплачивает Обладателю ЦФА неустойку (пени) в размере 0,1% от номинальной стоимости ЦФА за каждый день просрочки.</w:t>
            </w:r>
          </w:p>
        </w:tc>
      </w:tr>
      <w:tr w:rsidR="00562384" w:rsidRPr="00562384" w14:paraId="541ECD0D" w14:textId="77777777" w:rsidTr="00562384">
        <w:tc>
          <w:tcPr>
            <w:tcW w:w="765" w:type="dxa"/>
            <w:tcBorders>
              <w:top w:val="single" w:sz="4" w:space="0" w:color="BFBFBF"/>
              <w:bottom w:val="single" w:sz="4" w:space="0" w:color="BFBFBF"/>
            </w:tcBorders>
          </w:tcPr>
          <w:p w14:paraId="0BF66EF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6.2.</w:t>
            </w:r>
          </w:p>
        </w:tc>
        <w:tc>
          <w:tcPr>
            <w:tcW w:w="2235" w:type="dxa"/>
            <w:tcBorders>
              <w:top w:val="single" w:sz="4" w:space="0" w:color="BFBFBF"/>
              <w:bottom w:val="single" w:sz="4" w:space="0" w:color="BFBFBF"/>
            </w:tcBorders>
          </w:tcPr>
          <w:p w14:paraId="080BB24E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Заключения соглашения о неустойке</w:t>
            </w:r>
          </w:p>
        </w:tc>
        <w:tc>
          <w:tcPr>
            <w:tcW w:w="7065" w:type="dxa"/>
            <w:tcBorders>
              <w:top w:val="single" w:sz="4" w:space="0" w:color="BFBFBF"/>
              <w:bottom w:val="single" w:sz="4" w:space="0" w:color="BFBFBF"/>
            </w:tcBorders>
          </w:tcPr>
          <w:p w14:paraId="43C4132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Письменная форма настоящего соглашения о неустойке считается соблюденной и является неотъемлемой частью Специальных условий Решения о выпуске.</w:t>
            </w:r>
          </w:p>
        </w:tc>
      </w:tr>
    </w:tbl>
    <w:p w14:paraId="3CAD536D" w14:textId="77777777" w:rsidR="00562384" w:rsidRP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</w:rPr>
      </w:pPr>
    </w:p>
    <w:tbl>
      <w:tblPr>
        <w:tblStyle w:val="25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2216"/>
        <w:gridCol w:w="7071"/>
      </w:tblGrid>
      <w:tr w:rsidR="00562384" w:rsidRPr="00562384" w14:paraId="5BBE0CEC" w14:textId="77777777" w:rsidTr="00AC07DA">
        <w:tc>
          <w:tcPr>
            <w:tcW w:w="778" w:type="dxa"/>
          </w:tcPr>
          <w:p w14:paraId="60663F0F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color w:val="808080"/>
                <w:sz w:val="28"/>
                <w:szCs w:val="28"/>
              </w:rPr>
              <w:t>7.</w:t>
            </w:r>
          </w:p>
        </w:tc>
        <w:tc>
          <w:tcPr>
            <w:tcW w:w="9287" w:type="dxa"/>
            <w:gridSpan w:val="2"/>
          </w:tcPr>
          <w:p w14:paraId="4D8E00B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b/>
                <w:bCs/>
              </w:rPr>
            </w:pPr>
            <w:r w:rsidRPr="00562384">
              <w:rPr>
                <w:rFonts w:ascii="Arial Narrow" w:eastAsia="Calibri" w:hAnsi="Arial Narrow" w:cs="Times New Roman"/>
                <w:b/>
                <w:bCs/>
                <w:sz w:val="28"/>
                <w:szCs w:val="28"/>
              </w:rPr>
              <w:t>Термины и определения</w:t>
            </w:r>
          </w:p>
        </w:tc>
      </w:tr>
      <w:tr w:rsidR="00562384" w:rsidRPr="00562384" w14:paraId="62F24924" w14:textId="77777777" w:rsidTr="00562384">
        <w:tc>
          <w:tcPr>
            <w:tcW w:w="778" w:type="dxa"/>
            <w:tcBorders>
              <w:top w:val="single" w:sz="4" w:space="0" w:color="BFBFBF"/>
              <w:bottom w:val="single" w:sz="4" w:space="0" w:color="BFBFBF"/>
            </w:tcBorders>
          </w:tcPr>
          <w:p w14:paraId="2502AC8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7.1.</w:t>
            </w:r>
          </w:p>
        </w:tc>
        <w:tc>
          <w:tcPr>
            <w:tcW w:w="2216" w:type="dxa"/>
            <w:tcBorders>
              <w:top w:val="single" w:sz="4" w:space="0" w:color="BFBFBF"/>
              <w:bottom w:val="single" w:sz="4" w:space="0" w:color="BFBFBF"/>
            </w:tcBorders>
          </w:tcPr>
          <w:p w14:paraId="72A1750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Инвестор</w:t>
            </w:r>
          </w:p>
        </w:tc>
        <w:tc>
          <w:tcPr>
            <w:tcW w:w="7071" w:type="dxa"/>
            <w:tcBorders>
              <w:top w:val="single" w:sz="4" w:space="0" w:color="BFBFBF"/>
              <w:bottom w:val="single" w:sz="4" w:space="0" w:color="BFBFBF"/>
            </w:tcBorders>
          </w:tcPr>
          <w:p w14:paraId="3712AFE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Первый приобретатель ЦФА.</w:t>
            </w:r>
          </w:p>
        </w:tc>
      </w:tr>
      <w:tr w:rsidR="00562384" w:rsidRPr="00562384" w14:paraId="33D64399" w14:textId="77777777" w:rsidTr="00562384">
        <w:tc>
          <w:tcPr>
            <w:tcW w:w="778" w:type="dxa"/>
            <w:tcBorders>
              <w:top w:val="single" w:sz="4" w:space="0" w:color="BFBFBF"/>
              <w:bottom w:val="single" w:sz="4" w:space="0" w:color="BFBFBF"/>
            </w:tcBorders>
          </w:tcPr>
          <w:p w14:paraId="03ECD45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7.2.</w:t>
            </w:r>
          </w:p>
        </w:tc>
        <w:tc>
          <w:tcPr>
            <w:tcW w:w="2216" w:type="dxa"/>
            <w:tcBorders>
              <w:top w:val="single" w:sz="4" w:space="0" w:color="BFBFBF"/>
              <w:bottom w:val="single" w:sz="4" w:space="0" w:color="BFBFBF"/>
            </w:tcBorders>
          </w:tcPr>
          <w:p w14:paraId="2F9A63B9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Специальные условия</w:t>
            </w:r>
          </w:p>
        </w:tc>
        <w:tc>
          <w:tcPr>
            <w:tcW w:w="7071" w:type="dxa"/>
            <w:tcBorders>
              <w:top w:val="single" w:sz="4" w:space="0" w:color="BFBFBF"/>
              <w:bottom w:val="single" w:sz="4" w:space="0" w:color="BFBFBF"/>
            </w:tcBorders>
          </w:tcPr>
          <w:p w14:paraId="50F07571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Специальные условия решения о выпуске, подписанные УКЭП Эмитента и лица, предоставившего обеспечение</w:t>
            </w:r>
          </w:p>
        </w:tc>
      </w:tr>
      <w:tr w:rsidR="00562384" w:rsidRPr="00562384" w14:paraId="0BBAB2D9" w14:textId="77777777" w:rsidTr="00562384">
        <w:tc>
          <w:tcPr>
            <w:tcW w:w="778" w:type="dxa"/>
            <w:tcBorders>
              <w:top w:val="single" w:sz="4" w:space="0" w:color="BFBFBF"/>
              <w:bottom w:val="single" w:sz="4" w:space="0" w:color="BFBFBF"/>
            </w:tcBorders>
          </w:tcPr>
          <w:p w14:paraId="3DEC0C5D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7.3.</w:t>
            </w:r>
          </w:p>
        </w:tc>
        <w:tc>
          <w:tcPr>
            <w:tcW w:w="2216" w:type="dxa"/>
            <w:tcBorders>
              <w:top w:val="single" w:sz="4" w:space="0" w:color="BFBFBF"/>
              <w:bottom w:val="single" w:sz="4" w:space="0" w:color="BFBFBF"/>
            </w:tcBorders>
          </w:tcPr>
          <w:p w14:paraId="23A32613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Обладатель ЦФА</w:t>
            </w:r>
          </w:p>
        </w:tc>
        <w:tc>
          <w:tcPr>
            <w:tcW w:w="7071" w:type="dxa"/>
            <w:tcBorders>
              <w:top w:val="single" w:sz="4" w:space="0" w:color="BFBFBF"/>
              <w:bottom w:val="single" w:sz="4" w:space="0" w:color="BFBFBF"/>
            </w:tcBorders>
          </w:tcPr>
          <w:p w14:paraId="44F87C05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Лицо, являющееся Владельцем ЦФА в соответствии с Правилами.</w:t>
            </w:r>
          </w:p>
        </w:tc>
      </w:tr>
      <w:tr w:rsidR="00562384" w:rsidRPr="00562384" w14:paraId="23F035CD" w14:textId="77777777" w:rsidTr="00562384">
        <w:tc>
          <w:tcPr>
            <w:tcW w:w="778" w:type="dxa"/>
            <w:tcBorders>
              <w:top w:val="single" w:sz="4" w:space="0" w:color="BFBFBF"/>
              <w:bottom w:val="single" w:sz="4" w:space="0" w:color="BFBFBF"/>
            </w:tcBorders>
          </w:tcPr>
          <w:p w14:paraId="146BD8F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7.4.</w:t>
            </w:r>
          </w:p>
        </w:tc>
        <w:tc>
          <w:tcPr>
            <w:tcW w:w="2216" w:type="dxa"/>
            <w:tcBorders>
              <w:top w:val="single" w:sz="4" w:space="0" w:color="BFBFBF"/>
              <w:bottom w:val="single" w:sz="4" w:space="0" w:color="BFBFBF"/>
            </w:tcBorders>
          </w:tcPr>
          <w:p w14:paraId="086E728A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Правила</w:t>
            </w:r>
          </w:p>
        </w:tc>
        <w:tc>
          <w:tcPr>
            <w:tcW w:w="7071" w:type="dxa"/>
            <w:tcBorders>
              <w:top w:val="single" w:sz="4" w:space="0" w:color="BFBFBF"/>
              <w:bottom w:val="single" w:sz="4" w:space="0" w:color="BFBFBF"/>
            </w:tcBorders>
          </w:tcPr>
          <w:p w14:paraId="102CDB9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Правила ИС ООО «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Токены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».</w:t>
            </w:r>
          </w:p>
        </w:tc>
      </w:tr>
      <w:tr w:rsidR="00562384" w:rsidRPr="00562384" w14:paraId="7978AF7F" w14:textId="77777777" w:rsidTr="00562384">
        <w:tc>
          <w:tcPr>
            <w:tcW w:w="778" w:type="dxa"/>
            <w:tcBorders>
              <w:top w:val="single" w:sz="4" w:space="0" w:color="BFBFBF"/>
              <w:bottom w:val="single" w:sz="4" w:space="0" w:color="BFBFBF"/>
            </w:tcBorders>
          </w:tcPr>
          <w:p w14:paraId="514CB112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</w:pPr>
            <w:r w:rsidRPr="00562384">
              <w:rPr>
                <w:rFonts w:ascii="Arial Narrow" w:eastAsia="Calibri" w:hAnsi="Arial Narrow" w:cs="Times New Roman"/>
                <w:color w:val="808080"/>
                <w:sz w:val="20"/>
                <w:szCs w:val="20"/>
              </w:rPr>
              <w:t>7.5.</w:t>
            </w:r>
          </w:p>
        </w:tc>
        <w:tc>
          <w:tcPr>
            <w:tcW w:w="2216" w:type="dxa"/>
            <w:tcBorders>
              <w:top w:val="single" w:sz="4" w:space="0" w:color="BFBFBF"/>
              <w:bottom w:val="single" w:sz="4" w:space="0" w:color="BFBFBF"/>
            </w:tcBorders>
          </w:tcPr>
          <w:p w14:paraId="0631D0D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Платформа</w:t>
            </w:r>
          </w:p>
        </w:tc>
        <w:tc>
          <w:tcPr>
            <w:tcW w:w="7071" w:type="dxa"/>
            <w:tcBorders>
              <w:top w:val="single" w:sz="4" w:space="0" w:color="BFBFBF"/>
              <w:bottom w:val="single" w:sz="4" w:space="0" w:color="BFBFBF"/>
            </w:tcBorders>
          </w:tcPr>
          <w:p w14:paraId="40257EA7" w14:textId="77777777" w:rsidR="00562384" w:rsidRPr="00562384" w:rsidRDefault="00562384" w:rsidP="00562384">
            <w:pPr>
              <w:rPr>
                <w:rFonts w:ascii="Arial Narrow" w:eastAsia="Calibri" w:hAnsi="Arial Narrow" w:cs="Times New Roman"/>
              </w:rPr>
            </w:pPr>
            <w:r w:rsidRPr="00562384">
              <w:rPr>
                <w:rFonts w:ascii="Arial Narrow" w:eastAsia="Calibri" w:hAnsi="Arial Narrow" w:cs="Times New Roman"/>
              </w:rPr>
              <w:t>Платформа ИС ООО «</w:t>
            </w:r>
            <w:proofErr w:type="spellStart"/>
            <w:r w:rsidRPr="00562384">
              <w:rPr>
                <w:rFonts w:ascii="Arial Narrow" w:eastAsia="Calibri" w:hAnsi="Arial Narrow" w:cs="Times New Roman"/>
              </w:rPr>
              <w:t>Токены</w:t>
            </w:r>
            <w:proofErr w:type="spellEnd"/>
            <w:r w:rsidRPr="00562384">
              <w:rPr>
                <w:rFonts w:ascii="Arial Narrow" w:eastAsia="Calibri" w:hAnsi="Arial Narrow" w:cs="Times New Roman"/>
              </w:rPr>
              <w:t>».</w:t>
            </w:r>
          </w:p>
        </w:tc>
      </w:tr>
    </w:tbl>
    <w:p w14:paraId="25F18B62" w14:textId="77777777" w:rsidR="00562384" w:rsidRPr="00562384" w:rsidRDefault="00562384" w:rsidP="00562384">
      <w:pPr>
        <w:spacing w:after="0" w:line="240" w:lineRule="auto"/>
        <w:rPr>
          <w:rFonts w:ascii="Arial Narrow" w:eastAsia="Calibri" w:hAnsi="Arial Narrow" w:cs="Times New Roman"/>
          <w:kern w:val="2"/>
        </w:rPr>
      </w:pPr>
    </w:p>
    <w:p w14:paraId="3E7CE5F9" w14:textId="77777777" w:rsidR="00562384" w:rsidRPr="00562384" w:rsidRDefault="00562384" w:rsidP="00562384">
      <w:pPr>
        <w:spacing w:after="0" w:line="240" w:lineRule="auto"/>
        <w:ind w:left="-709"/>
        <w:jc w:val="both"/>
        <w:rPr>
          <w:rFonts w:ascii="Arial Narrow" w:eastAsia="Calibri" w:hAnsi="Arial Narrow" w:cs="Times New Roman"/>
          <w:kern w:val="2"/>
        </w:rPr>
      </w:pPr>
      <w:r w:rsidRPr="00562384">
        <w:rPr>
          <w:rFonts w:ascii="Arial Narrow" w:eastAsia="Calibri" w:hAnsi="Arial Narrow" w:cs="Times New Roman"/>
          <w:kern w:val="2"/>
        </w:rPr>
        <w:t>Термины используются в значении, которое установлено для них в Правилах, если иное не предусмотрено Общими условиями или Специальными условиями.</w:t>
      </w:r>
    </w:p>
    <w:p w14:paraId="588F6436" w14:textId="77777777" w:rsidR="00562384" w:rsidRPr="00562384" w:rsidRDefault="00562384" w:rsidP="00562384">
      <w:pPr>
        <w:spacing w:after="0" w:line="240" w:lineRule="auto"/>
        <w:ind w:left="-709"/>
        <w:jc w:val="both"/>
        <w:rPr>
          <w:rFonts w:ascii="Arial Narrow" w:eastAsia="Calibri" w:hAnsi="Arial Narrow" w:cs="Times New Roman"/>
          <w:kern w:val="2"/>
        </w:rPr>
      </w:pPr>
    </w:p>
    <w:p w14:paraId="100454E5" w14:textId="77777777" w:rsidR="00562384" w:rsidRPr="00562384" w:rsidRDefault="00562384" w:rsidP="00562384">
      <w:pPr>
        <w:spacing w:after="0" w:line="240" w:lineRule="auto"/>
        <w:ind w:left="-709"/>
        <w:jc w:val="both"/>
        <w:rPr>
          <w:rFonts w:ascii="Arial Narrow" w:eastAsia="Calibri" w:hAnsi="Arial Narrow" w:cs="Times New Roman"/>
          <w:kern w:val="2"/>
        </w:rPr>
      </w:pPr>
      <w:r w:rsidRPr="00562384">
        <w:rPr>
          <w:rFonts w:ascii="Arial Narrow" w:eastAsia="Calibri" w:hAnsi="Arial Narrow" w:cs="Times New Roman"/>
          <w:kern w:val="2"/>
        </w:rPr>
        <w:t xml:space="preserve">Если положения Специальных условий и Общих условий различаются, применяются положения Специальных условий. </w:t>
      </w:r>
    </w:p>
    <w:p w14:paraId="1139908A" w14:textId="77777777" w:rsidR="00562384" w:rsidRPr="00562384" w:rsidRDefault="00562384" w:rsidP="00562384">
      <w:pPr>
        <w:spacing w:after="0" w:line="240" w:lineRule="auto"/>
        <w:rPr>
          <w:rFonts w:ascii="Arial" w:eastAsia="Calibri" w:hAnsi="Arial" w:cs="Arial"/>
          <w:b/>
          <w:color w:val="0D0D28"/>
          <w:kern w:val="2"/>
          <w:sz w:val="24"/>
          <w:szCs w:val="24"/>
        </w:rPr>
      </w:pPr>
    </w:p>
    <w:p w14:paraId="31A70DD0" w14:textId="77777777" w:rsidR="00124B55" w:rsidRPr="00D95FEB" w:rsidRDefault="00124B55" w:rsidP="00D95FEB">
      <w:pPr>
        <w:jc w:val="right"/>
        <w:rPr>
          <w:rFonts w:ascii="Arial Narrow" w:hAnsi="Arial Narrow" w:cs="Arial"/>
          <w:bCs/>
          <w:color w:val="0D0D28"/>
        </w:rPr>
      </w:pPr>
    </w:p>
    <w:sectPr w:rsidR="00124B55" w:rsidRPr="00D95FEB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073FECB" w16cex:dateUtc="2024-11-05T08:50:00Z"/>
  <w16cex:commentExtensible w16cex:durableId="55BB2318" w16cex:dateUtc="2024-11-05T08:50:00Z"/>
  <w16cex:commentExtensible w16cex:durableId="71924D90" w16cex:dateUtc="2024-11-05T09:09:00Z"/>
  <w16cex:commentExtensible w16cex:durableId="499E941F" w16cex:dateUtc="2024-11-05T09:28:00Z"/>
  <w16cex:commentExtensible w16cex:durableId="73801663" w16cex:dateUtc="2024-11-05T09:02:00Z"/>
  <w16cex:commentExtensible w16cex:durableId="2B05FA4F" w16cex:dateUtc="2024-11-02T13:44:00Z"/>
  <w16cex:commentExtensible w16cex:durableId="6442744B" w16cex:dateUtc="2024-11-05T09:05:00Z"/>
  <w16cex:commentExtensible w16cex:durableId="4E89B348" w16cex:dateUtc="2024-11-05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5863E50" w16cid:durableId="1073FECB"/>
  <w16cid:commentId w16cid:paraId="265DEBAA" w16cid:durableId="55BB2318"/>
  <w16cid:commentId w16cid:paraId="5C6AAB0D" w16cid:durableId="71924D90"/>
  <w16cid:commentId w16cid:paraId="6FB20A2A" w16cid:durableId="499E941F"/>
  <w16cid:commentId w16cid:paraId="3B04E2D3" w16cid:durableId="73801663"/>
  <w16cid:commentId w16cid:paraId="7670B393" w16cid:durableId="2B05FA4F"/>
  <w16cid:commentId w16cid:paraId="01756C79" w16cid:durableId="6442744B"/>
  <w16cid:commentId w16cid:paraId="081053FE" w16cid:durableId="4E89B34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5D4F4" w14:textId="77777777" w:rsidR="006B1373" w:rsidRDefault="006B1373">
      <w:pPr>
        <w:spacing w:after="0" w:line="240" w:lineRule="auto"/>
      </w:pPr>
      <w:r>
        <w:separator/>
      </w:r>
    </w:p>
  </w:endnote>
  <w:endnote w:type="continuationSeparator" w:id="0">
    <w:p w14:paraId="3F925353" w14:textId="77777777" w:rsidR="006B1373" w:rsidRDefault="006B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482C1" w14:textId="77777777" w:rsidR="006B1373" w:rsidRDefault="006B1373">
      <w:pPr>
        <w:spacing w:after="0" w:line="240" w:lineRule="auto"/>
      </w:pPr>
      <w:r>
        <w:separator/>
      </w:r>
    </w:p>
  </w:footnote>
  <w:footnote w:type="continuationSeparator" w:id="0">
    <w:p w14:paraId="36206096" w14:textId="77777777" w:rsidR="006B1373" w:rsidRDefault="006B1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70087" w14:textId="77777777" w:rsidR="007756CD" w:rsidRDefault="007756CD">
    <w:pPr>
      <w:pStyle w:val="af3"/>
    </w:pPr>
    <w:r>
      <w:rPr>
        <w:rFonts w:ascii="Arial" w:hAnsi="Arial" w:cs="Arial"/>
        <w:b/>
        <w:noProof/>
        <w:color w:val="FFFFFF" w:themeColor="background1"/>
        <w:sz w:val="24"/>
        <w:szCs w:val="24"/>
        <w:lang w:eastAsia="ru-RU"/>
      </w:rPr>
      <mc:AlternateContent>
        <mc:Choice Requires="wpg">
          <w:drawing>
            <wp:inline distT="0" distB="0" distL="0" distR="0" wp14:anchorId="1BED9532" wp14:editId="04817064">
              <wp:extent cx="1192420" cy="251997"/>
              <wp:effectExtent l="0" t="0" r="0" b="0"/>
              <wp:docPr id="1" name="Рисунок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0" name="Group 1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192420" cy="25199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3.89pt;height:19.84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</w:p>
  <w:p w14:paraId="4FBBF1D1" w14:textId="77777777" w:rsidR="007756CD" w:rsidRDefault="007756C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7836"/>
    <w:multiLevelType w:val="hybridMultilevel"/>
    <w:tmpl w:val="A418979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92CF7"/>
    <w:multiLevelType w:val="hybridMultilevel"/>
    <w:tmpl w:val="8F5E97B6"/>
    <w:lvl w:ilvl="0" w:tplc="CEA2B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866D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0253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4D8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746F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06CC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2699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D204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0CD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31916"/>
    <w:multiLevelType w:val="hybridMultilevel"/>
    <w:tmpl w:val="A418979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43ECC"/>
    <w:multiLevelType w:val="hybridMultilevel"/>
    <w:tmpl w:val="CF3CB3DC"/>
    <w:lvl w:ilvl="0" w:tplc="B0F2C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6329E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0613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468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AA2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5498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88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2601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9264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2DC6"/>
    <w:multiLevelType w:val="hybridMultilevel"/>
    <w:tmpl w:val="676C2D1C"/>
    <w:lvl w:ilvl="0" w:tplc="C0A65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639FF"/>
    <w:multiLevelType w:val="hybridMultilevel"/>
    <w:tmpl w:val="753CF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47F97"/>
    <w:multiLevelType w:val="hybridMultilevel"/>
    <w:tmpl w:val="0BFC0272"/>
    <w:lvl w:ilvl="0" w:tplc="4F084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E47D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E671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A8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66F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C0D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0A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765C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CCF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358ED"/>
    <w:multiLevelType w:val="hybridMultilevel"/>
    <w:tmpl w:val="A08247BE"/>
    <w:lvl w:ilvl="0" w:tplc="C0A65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F2EC1"/>
    <w:multiLevelType w:val="hybridMultilevel"/>
    <w:tmpl w:val="A4A011FA"/>
    <w:lvl w:ilvl="0" w:tplc="C0A65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D16F7"/>
    <w:multiLevelType w:val="hybridMultilevel"/>
    <w:tmpl w:val="64BACAB2"/>
    <w:lvl w:ilvl="0" w:tplc="8C32B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7EFC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DA6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0EB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0A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62FC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846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EB3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56C7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96794"/>
    <w:multiLevelType w:val="hybridMultilevel"/>
    <w:tmpl w:val="A76C70D2"/>
    <w:lvl w:ilvl="0" w:tplc="1848D7FC">
      <w:start w:val="1"/>
      <w:numFmt w:val="bullet"/>
      <w:lvlText w:val="–"/>
      <w:lvlJc w:val="left"/>
      <w:pPr>
        <w:ind w:left="720" w:hanging="360"/>
      </w:pPr>
      <w:rPr>
        <w:rFonts w:ascii="Calibri (Body)" w:hAnsi="Calibri (Body)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847C5"/>
    <w:multiLevelType w:val="hybridMultilevel"/>
    <w:tmpl w:val="06D47464"/>
    <w:lvl w:ilvl="0" w:tplc="B8B23C36">
      <w:start w:val="1"/>
      <w:numFmt w:val="bullet"/>
      <w:lvlText w:val="–"/>
      <w:lvlJc w:val="left"/>
      <w:pPr>
        <w:ind w:left="720" w:hanging="360"/>
      </w:pPr>
      <w:rPr>
        <w:rFonts w:ascii="Calibri (Body)" w:hAnsi="Calibri (Body)" w:hint="default"/>
        <w:color w:val="auto"/>
      </w:rPr>
    </w:lvl>
    <w:lvl w:ilvl="1" w:tplc="66F416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12AB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D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231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2EBB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7CA3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623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B45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C6FA5"/>
    <w:multiLevelType w:val="hybridMultilevel"/>
    <w:tmpl w:val="C310B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960C9"/>
    <w:multiLevelType w:val="hybridMultilevel"/>
    <w:tmpl w:val="8604DBC6"/>
    <w:lvl w:ilvl="0" w:tplc="DF4CF34E">
      <w:start w:val="1"/>
      <w:numFmt w:val="bullet"/>
      <w:lvlText w:val="–"/>
      <w:lvlJc w:val="left"/>
      <w:pPr>
        <w:ind w:left="720" w:hanging="360"/>
      </w:pPr>
      <w:rPr>
        <w:rFonts w:ascii="Calibri (Body)" w:hAnsi="Calibri (Body)" w:hint="default"/>
        <w:color w:val="auto"/>
      </w:rPr>
    </w:lvl>
    <w:lvl w:ilvl="1" w:tplc="8140E7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8C4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F4AA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9EAD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8420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D859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C03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EB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12D75"/>
    <w:multiLevelType w:val="hybridMultilevel"/>
    <w:tmpl w:val="3F08873C"/>
    <w:lvl w:ilvl="0" w:tplc="C0A65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238BC"/>
    <w:multiLevelType w:val="hybridMultilevel"/>
    <w:tmpl w:val="78C45352"/>
    <w:lvl w:ilvl="0" w:tplc="0B589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08C7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727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262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869A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0A9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22F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AC1B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3CE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E1E75"/>
    <w:multiLevelType w:val="hybridMultilevel"/>
    <w:tmpl w:val="30E41FDE"/>
    <w:lvl w:ilvl="0" w:tplc="C0A65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4655FD"/>
    <w:multiLevelType w:val="hybridMultilevel"/>
    <w:tmpl w:val="98183F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A691C"/>
    <w:multiLevelType w:val="hybridMultilevel"/>
    <w:tmpl w:val="437C5E1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718D7"/>
    <w:multiLevelType w:val="hybridMultilevel"/>
    <w:tmpl w:val="5826FD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B754E9"/>
    <w:multiLevelType w:val="hybridMultilevel"/>
    <w:tmpl w:val="05E6A838"/>
    <w:lvl w:ilvl="0" w:tplc="B7DC1B6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9E40F13"/>
    <w:multiLevelType w:val="hybridMultilevel"/>
    <w:tmpl w:val="E82A4BBC"/>
    <w:lvl w:ilvl="0" w:tplc="ECF03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EAC1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4CE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BC8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679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9A1D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7E8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26F4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EE65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C3794"/>
    <w:multiLevelType w:val="hybridMultilevel"/>
    <w:tmpl w:val="BB123D5E"/>
    <w:lvl w:ilvl="0" w:tplc="EA0C95D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95" w:hanging="360"/>
      </w:pPr>
    </w:lvl>
    <w:lvl w:ilvl="2" w:tplc="0809001B" w:tentative="1">
      <w:start w:val="1"/>
      <w:numFmt w:val="lowerRoman"/>
      <w:lvlText w:val="%3."/>
      <w:lvlJc w:val="right"/>
      <w:pPr>
        <w:ind w:left="1815" w:hanging="180"/>
      </w:pPr>
    </w:lvl>
    <w:lvl w:ilvl="3" w:tplc="0809000F" w:tentative="1">
      <w:start w:val="1"/>
      <w:numFmt w:val="decimal"/>
      <w:lvlText w:val="%4."/>
      <w:lvlJc w:val="left"/>
      <w:pPr>
        <w:ind w:left="2535" w:hanging="360"/>
      </w:pPr>
    </w:lvl>
    <w:lvl w:ilvl="4" w:tplc="08090019" w:tentative="1">
      <w:start w:val="1"/>
      <w:numFmt w:val="lowerLetter"/>
      <w:lvlText w:val="%5."/>
      <w:lvlJc w:val="left"/>
      <w:pPr>
        <w:ind w:left="3255" w:hanging="360"/>
      </w:pPr>
    </w:lvl>
    <w:lvl w:ilvl="5" w:tplc="0809001B" w:tentative="1">
      <w:start w:val="1"/>
      <w:numFmt w:val="lowerRoman"/>
      <w:lvlText w:val="%6."/>
      <w:lvlJc w:val="right"/>
      <w:pPr>
        <w:ind w:left="3975" w:hanging="180"/>
      </w:pPr>
    </w:lvl>
    <w:lvl w:ilvl="6" w:tplc="0809000F" w:tentative="1">
      <w:start w:val="1"/>
      <w:numFmt w:val="decimal"/>
      <w:lvlText w:val="%7."/>
      <w:lvlJc w:val="left"/>
      <w:pPr>
        <w:ind w:left="4695" w:hanging="360"/>
      </w:pPr>
    </w:lvl>
    <w:lvl w:ilvl="7" w:tplc="08090019" w:tentative="1">
      <w:start w:val="1"/>
      <w:numFmt w:val="lowerLetter"/>
      <w:lvlText w:val="%8."/>
      <w:lvlJc w:val="left"/>
      <w:pPr>
        <w:ind w:left="5415" w:hanging="360"/>
      </w:pPr>
    </w:lvl>
    <w:lvl w:ilvl="8" w:tplc="08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3" w15:restartNumberingAfterBreak="0">
    <w:nsid w:val="771E1497"/>
    <w:multiLevelType w:val="hybridMultilevel"/>
    <w:tmpl w:val="2D206864"/>
    <w:lvl w:ilvl="0" w:tplc="C0A65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02AF9"/>
    <w:multiLevelType w:val="hybridMultilevel"/>
    <w:tmpl w:val="A41897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3"/>
  </w:num>
  <w:num w:numId="5">
    <w:abstractNumId w:val="21"/>
  </w:num>
  <w:num w:numId="6">
    <w:abstractNumId w:val="15"/>
  </w:num>
  <w:num w:numId="7">
    <w:abstractNumId w:val="6"/>
  </w:num>
  <w:num w:numId="8">
    <w:abstractNumId w:val="11"/>
  </w:num>
  <w:num w:numId="9">
    <w:abstractNumId w:val="23"/>
  </w:num>
  <w:num w:numId="10">
    <w:abstractNumId w:val="4"/>
  </w:num>
  <w:num w:numId="11">
    <w:abstractNumId w:val="5"/>
  </w:num>
  <w:num w:numId="12">
    <w:abstractNumId w:val="12"/>
  </w:num>
  <w:num w:numId="13">
    <w:abstractNumId w:val="24"/>
  </w:num>
  <w:num w:numId="14">
    <w:abstractNumId w:val="8"/>
  </w:num>
  <w:num w:numId="15">
    <w:abstractNumId w:val="19"/>
  </w:num>
  <w:num w:numId="16">
    <w:abstractNumId w:val="2"/>
  </w:num>
  <w:num w:numId="17">
    <w:abstractNumId w:val="18"/>
  </w:num>
  <w:num w:numId="18">
    <w:abstractNumId w:val="0"/>
  </w:num>
  <w:num w:numId="19">
    <w:abstractNumId w:val="14"/>
  </w:num>
  <w:num w:numId="20">
    <w:abstractNumId w:val="7"/>
  </w:num>
  <w:num w:numId="21">
    <w:abstractNumId w:val="16"/>
  </w:num>
  <w:num w:numId="22">
    <w:abstractNumId w:val="10"/>
  </w:num>
  <w:num w:numId="23">
    <w:abstractNumId w:val="22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28"/>
    <w:rsid w:val="000778AB"/>
    <w:rsid w:val="000E0F50"/>
    <w:rsid w:val="00124B55"/>
    <w:rsid w:val="001500C8"/>
    <w:rsid w:val="0015375B"/>
    <w:rsid w:val="00177A6F"/>
    <w:rsid w:val="001A6FC5"/>
    <w:rsid w:val="001B0435"/>
    <w:rsid w:val="001B4949"/>
    <w:rsid w:val="002431A3"/>
    <w:rsid w:val="002D17DB"/>
    <w:rsid w:val="0030744C"/>
    <w:rsid w:val="00311D2F"/>
    <w:rsid w:val="00343B2C"/>
    <w:rsid w:val="003A7179"/>
    <w:rsid w:val="003B0CE1"/>
    <w:rsid w:val="003C0EC0"/>
    <w:rsid w:val="003C74CD"/>
    <w:rsid w:val="003D3C73"/>
    <w:rsid w:val="004014C9"/>
    <w:rsid w:val="00407023"/>
    <w:rsid w:val="00412730"/>
    <w:rsid w:val="004162BE"/>
    <w:rsid w:val="004671B5"/>
    <w:rsid w:val="00471080"/>
    <w:rsid w:val="00471361"/>
    <w:rsid w:val="004A7352"/>
    <w:rsid w:val="004D6F32"/>
    <w:rsid w:val="00514B65"/>
    <w:rsid w:val="00555EBF"/>
    <w:rsid w:val="00562384"/>
    <w:rsid w:val="00596838"/>
    <w:rsid w:val="005A01A5"/>
    <w:rsid w:val="00613426"/>
    <w:rsid w:val="00617112"/>
    <w:rsid w:val="00673128"/>
    <w:rsid w:val="00685C24"/>
    <w:rsid w:val="00686907"/>
    <w:rsid w:val="00697B37"/>
    <w:rsid w:val="006A7DD7"/>
    <w:rsid w:val="006B1373"/>
    <w:rsid w:val="006E39AF"/>
    <w:rsid w:val="006F2766"/>
    <w:rsid w:val="0072339C"/>
    <w:rsid w:val="00740A3B"/>
    <w:rsid w:val="007756CD"/>
    <w:rsid w:val="007839D8"/>
    <w:rsid w:val="007A0848"/>
    <w:rsid w:val="007B62A4"/>
    <w:rsid w:val="007E6D92"/>
    <w:rsid w:val="00895D2A"/>
    <w:rsid w:val="008A3CBA"/>
    <w:rsid w:val="008C2B02"/>
    <w:rsid w:val="008D6668"/>
    <w:rsid w:val="009279DC"/>
    <w:rsid w:val="00955B78"/>
    <w:rsid w:val="00975435"/>
    <w:rsid w:val="009B0193"/>
    <w:rsid w:val="009C0B23"/>
    <w:rsid w:val="009E003A"/>
    <w:rsid w:val="009E4B6F"/>
    <w:rsid w:val="00AB3249"/>
    <w:rsid w:val="00AC07DA"/>
    <w:rsid w:val="00AE006E"/>
    <w:rsid w:val="00B06C78"/>
    <w:rsid w:val="00B67E1D"/>
    <w:rsid w:val="00B84928"/>
    <w:rsid w:val="00B97EF2"/>
    <w:rsid w:val="00BC29BC"/>
    <w:rsid w:val="00C0725D"/>
    <w:rsid w:val="00C37970"/>
    <w:rsid w:val="00C37DAA"/>
    <w:rsid w:val="00C50CB0"/>
    <w:rsid w:val="00C647BE"/>
    <w:rsid w:val="00C74AD3"/>
    <w:rsid w:val="00CB5463"/>
    <w:rsid w:val="00CD65CB"/>
    <w:rsid w:val="00D23532"/>
    <w:rsid w:val="00D62A5F"/>
    <w:rsid w:val="00D939D5"/>
    <w:rsid w:val="00D95FEB"/>
    <w:rsid w:val="00DA1477"/>
    <w:rsid w:val="00E16E5D"/>
    <w:rsid w:val="00E7490B"/>
    <w:rsid w:val="00F0354B"/>
    <w:rsid w:val="00F120EC"/>
    <w:rsid w:val="00F24059"/>
    <w:rsid w:val="00FC731C"/>
    <w:rsid w:val="00FE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BA3C"/>
  <w15:docId w15:val="{9F7238A3-77A0-49AA-A6EF-B7A9DC05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table" w:styleId="a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pPr>
      <w:ind w:left="720"/>
      <w:contextualSpacing/>
    </w:pPr>
    <w:rPr>
      <w14:ligatures w14:val="none"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ConsPlusNormal">
    <w:name w:val="ConsPlusNormal"/>
    <w:rsid w:val="00CD65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  <w14:ligatures w14:val="none"/>
    </w:rPr>
  </w:style>
  <w:style w:type="character" w:styleId="afa">
    <w:name w:val="annotation reference"/>
    <w:basedOn w:val="a0"/>
    <w:uiPriority w:val="99"/>
    <w:semiHidden/>
    <w:unhideWhenUsed/>
    <w:rsid w:val="00D62A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D62A5F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62A5F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62A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D62A5F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7"/>
    <w:uiPriority w:val="39"/>
    <w:rsid w:val="00124B55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3B0CE1"/>
    <w:pPr>
      <w:spacing w:after="0" w:line="240" w:lineRule="auto"/>
    </w:pPr>
  </w:style>
  <w:style w:type="table" w:customStyle="1" w:styleId="25">
    <w:name w:val="Сетка таблицы2"/>
    <w:basedOn w:val="a1"/>
    <w:next w:val="af7"/>
    <w:uiPriority w:val="39"/>
    <w:rsid w:val="00562384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alloon Text"/>
    <w:basedOn w:val="a"/>
    <w:link w:val="aff1"/>
    <w:uiPriority w:val="99"/>
    <w:semiHidden/>
    <w:unhideWhenUsed/>
    <w:rsid w:val="00673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673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4E7D6-0CF7-4692-9D0C-4141313E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3529</Words>
  <Characters>20116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Лаптев</dc:creator>
  <cp:lastModifiedBy>Розуменко Оксана Николаевна</cp:lastModifiedBy>
  <cp:revision>2</cp:revision>
  <cp:lastPrinted>2024-08-19T11:49:00Z</cp:lastPrinted>
  <dcterms:created xsi:type="dcterms:W3CDTF">2024-11-13T12:08:00Z</dcterms:created>
  <dcterms:modified xsi:type="dcterms:W3CDTF">2024-11-13T12:08:00Z</dcterms:modified>
</cp:coreProperties>
</file>